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2C052" w14:textId="77777777" w:rsidR="006C2567" w:rsidRDefault="006C2567" w:rsidP="006C2567">
      <w:pPr>
        <w:pStyle w:val="Overskrift1"/>
      </w:pPr>
      <w:bookmarkStart w:id="0" w:name="_Toc34228781"/>
      <w:r>
        <w:t>Informasjon vedrørende nytt laboratoriedatasystem ved St. Olavs Hospital fra 7.mars 2020</w:t>
      </w:r>
      <w:bookmarkStart w:id="1" w:name="_GoBack"/>
      <w:bookmarkEnd w:id="0"/>
      <w:bookmarkEnd w:id="1"/>
    </w:p>
    <w:p w14:paraId="040F27B7" w14:textId="77777777" w:rsidR="001B3E57" w:rsidRDefault="001B3E57" w:rsidP="001B3E57"/>
    <w:p w14:paraId="5C0D6689" w14:textId="069FF316" w:rsidR="006C2567" w:rsidRDefault="004B71D0" w:rsidP="00CC4B64">
      <w:r>
        <w:t>Nytt</w:t>
      </w:r>
      <w:r w:rsidR="00F4765F">
        <w:t xml:space="preserve"> laboratoriedatasystemet driftsettes lørdag 7. mars 2020. </w:t>
      </w:r>
      <w:r w:rsidR="001B3E57">
        <w:t xml:space="preserve">I </w:t>
      </w:r>
      <w:r w:rsidR="00F4765F">
        <w:t xml:space="preserve">dette dokumentet har vi samlet noen </w:t>
      </w:r>
      <w:r w:rsidR="001B3E57">
        <w:t xml:space="preserve">aktuelle </w:t>
      </w:r>
      <w:r w:rsidR="00F4765F">
        <w:t>sp</w:t>
      </w:r>
      <w:r w:rsidR="001B3E57">
        <w:t>ørsmål og svar</w:t>
      </w:r>
      <w:r>
        <w:t xml:space="preserve"> </w:t>
      </w:r>
      <w:r w:rsidR="005F375F">
        <w:t>over de viktigste endringen</w:t>
      </w:r>
      <w:r w:rsidR="00CC4B64">
        <w:t>e som vi håper kan være til hjelp</w:t>
      </w:r>
      <w:r>
        <w:t xml:space="preserve">. </w:t>
      </w:r>
      <w:r w:rsidR="00CC4B64">
        <w:t xml:space="preserve">Dokumentet oppdateres fortløpende etter behov. Siste versjon av dokumentet finner dere på vår hjemmeside </w:t>
      </w:r>
      <w:hyperlink r:id="rId11" w:history="1">
        <w:r w:rsidR="00CC4B64" w:rsidRPr="00A12FB0">
          <w:rPr>
            <w:rStyle w:val="Hyperkobling"/>
          </w:rPr>
          <w:t>https://stolav.no/fag-og-forskning/lab/nytt-laboratoriedatasystem-driftsettes-7-mars-2020</w:t>
        </w:r>
      </w:hyperlink>
      <w:r w:rsidR="00CC4B64"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076263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2A13D76" w14:textId="46A5A73B" w:rsidR="002A003D" w:rsidRDefault="002A003D">
          <w:pPr>
            <w:pStyle w:val="Overskriftforinnholdsfortegnelse"/>
          </w:pPr>
          <w:r>
            <w:t>Innhold</w:t>
          </w:r>
        </w:p>
        <w:p w14:paraId="39BF59BC" w14:textId="4ECA1773" w:rsidR="00656DB9" w:rsidRDefault="002A003D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228781" w:history="1">
            <w:r w:rsidR="00656DB9" w:rsidRPr="007126D9">
              <w:rPr>
                <w:rStyle w:val="Hyperkobling"/>
                <w:noProof/>
              </w:rPr>
              <w:t>Informasjon vedrørende nytt laboratoriedatasystem ved St. Olavs Hospital fra 7.mars 2020</w:t>
            </w:r>
            <w:r w:rsidR="00656DB9">
              <w:rPr>
                <w:noProof/>
                <w:webHidden/>
              </w:rPr>
              <w:tab/>
            </w:r>
            <w:r w:rsidR="00656DB9">
              <w:rPr>
                <w:noProof/>
                <w:webHidden/>
              </w:rPr>
              <w:fldChar w:fldCharType="begin"/>
            </w:r>
            <w:r w:rsidR="00656DB9">
              <w:rPr>
                <w:noProof/>
                <w:webHidden/>
              </w:rPr>
              <w:instrText xml:space="preserve"> PAGEREF _Toc34228781 \h </w:instrText>
            </w:r>
            <w:r w:rsidR="00656DB9">
              <w:rPr>
                <w:noProof/>
                <w:webHidden/>
              </w:rPr>
            </w:r>
            <w:r w:rsidR="00656DB9">
              <w:rPr>
                <w:noProof/>
                <w:webHidden/>
              </w:rPr>
              <w:fldChar w:fldCharType="separate"/>
            </w:r>
            <w:r w:rsidR="00656DB9">
              <w:rPr>
                <w:noProof/>
                <w:webHidden/>
              </w:rPr>
              <w:t>1</w:t>
            </w:r>
            <w:r w:rsidR="00656DB9">
              <w:rPr>
                <w:noProof/>
                <w:webHidden/>
              </w:rPr>
              <w:fldChar w:fldCharType="end"/>
            </w:r>
          </w:hyperlink>
        </w:p>
        <w:p w14:paraId="7CE2665F" w14:textId="595ADAE7" w:rsidR="00656DB9" w:rsidRDefault="00656DB9">
          <w:pPr>
            <w:pStyle w:val="INN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228782" w:history="1">
            <w:r w:rsidRPr="007126D9">
              <w:rPr>
                <w:rStyle w:val="Hyperkobling"/>
                <w:noProof/>
              </w:rPr>
              <w:t>1.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7126D9">
              <w:rPr>
                <w:rStyle w:val="Hyperkobling"/>
                <w:noProof/>
              </w:rPr>
              <w:t>Jeg får ikke til å rekvirere i IHR den 7.mars?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_Toc34228782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E4BFE" w14:textId="347B6184" w:rsidR="00656DB9" w:rsidRDefault="00656DB9">
          <w:pPr>
            <w:pStyle w:val="INN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228783" w:history="1">
            <w:r w:rsidRPr="007126D9">
              <w:rPr>
                <w:rStyle w:val="Hyperkobling"/>
                <w:noProof/>
              </w:rPr>
              <w:t>2.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7126D9">
              <w:rPr>
                <w:rStyle w:val="Hyperkobling"/>
                <w:noProof/>
              </w:rPr>
              <w:t>Jeg finner ikke alle analysene som før kunne rekvireres i IHR?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_Toc34228783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35FDF4" w14:textId="77E62FEE" w:rsidR="00656DB9" w:rsidRDefault="00656DB9">
          <w:pPr>
            <w:pStyle w:val="INN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228784" w:history="1">
            <w:r w:rsidRPr="007126D9">
              <w:rPr>
                <w:rStyle w:val="Hyperkobling"/>
                <w:noProof/>
              </w:rPr>
              <w:t>3.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7126D9">
              <w:rPr>
                <w:rStyle w:val="Hyperkobling"/>
                <w:noProof/>
              </w:rPr>
              <w:t>Jeg finner ikke aktuelt prøvemateriale eller prøvelokalisasjon blant valgmulighetene i IHR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_Toc34228784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5C59B3" w14:textId="5F206F41" w:rsidR="00656DB9" w:rsidRDefault="00656DB9">
          <w:pPr>
            <w:pStyle w:val="INN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228785" w:history="1">
            <w:r w:rsidRPr="007126D9">
              <w:rPr>
                <w:rStyle w:val="Hyperkobling"/>
                <w:noProof/>
              </w:rPr>
              <w:t>4.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7126D9">
              <w:rPr>
                <w:rStyle w:val="Hyperkobling"/>
                <w:noProof/>
              </w:rPr>
              <w:t>Hva er forskjellen på «sårsekret» og «sekret» i IHR?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_Toc34228785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9FC9F" w14:textId="27C61C7E" w:rsidR="00656DB9" w:rsidRDefault="00656DB9">
          <w:pPr>
            <w:pStyle w:val="INN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228786" w:history="1">
            <w:r w:rsidRPr="007126D9">
              <w:rPr>
                <w:rStyle w:val="Hyperkobling"/>
                <w:noProof/>
              </w:rPr>
              <w:t>5.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7126D9">
              <w:rPr>
                <w:rStyle w:val="Hyperkobling"/>
                <w:noProof/>
              </w:rPr>
              <w:t>Det er ikke mulig å velge «høyre» eller «venstre» som prøvelokalisasjon IHR?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_Toc34228786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8D3C5F" w14:textId="39C5480A" w:rsidR="00656DB9" w:rsidRDefault="00656DB9">
          <w:pPr>
            <w:pStyle w:val="INN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228787" w:history="1">
            <w:r w:rsidRPr="007126D9">
              <w:rPr>
                <w:rStyle w:val="Hyperkobling"/>
                <w:noProof/>
              </w:rPr>
              <w:t>6.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7126D9">
              <w:rPr>
                <w:rStyle w:val="Hyperkobling"/>
                <w:noProof/>
              </w:rPr>
              <w:t>Jeg får ikke til å endre lokalisasjon i IHR?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_Toc34228787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51F5D6" w14:textId="27FEE56B" w:rsidR="00656DB9" w:rsidRDefault="00656DB9">
          <w:pPr>
            <w:pStyle w:val="INN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228788" w:history="1">
            <w:r w:rsidRPr="007126D9">
              <w:rPr>
                <w:rStyle w:val="Hyperkobling"/>
                <w:noProof/>
              </w:rPr>
              <w:t>7.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7126D9">
              <w:rPr>
                <w:rStyle w:val="Hyperkobling"/>
                <w:noProof/>
              </w:rPr>
              <w:t>Hvor ofte sender dere ut elektroniske svar fra St Olav?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_Toc34228788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50C6D2" w14:textId="200FC821" w:rsidR="00656DB9" w:rsidRDefault="00656DB9">
          <w:pPr>
            <w:pStyle w:val="INN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228789" w:history="1">
            <w:r w:rsidRPr="007126D9">
              <w:rPr>
                <w:rStyle w:val="Hyperkobling"/>
                <w:noProof/>
              </w:rPr>
              <w:t>8.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7126D9">
              <w:rPr>
                <w:rStyle w:val="Hyperkobling"/>
                <w:noProof/>
              </w:rPr>
              <w:t>Sender dere svar med lokale analysenavn og –koder eller Norsk laboratoriekodeverk (NLK)-navn og koder?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_Toc34228789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E822FC" w14:textId="2552A083" w:rsidR="00656DB9" w:rsidRDefault="00656DB9">
          <w:pPr>
            <w:pStyle w:val="INN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228790" w:history="1">
            <w:r w:rsidRPr="007126D9">
              <w:rPr>
                <w:rStyle w:val="Hyperkobling"/>
                <w:noProof/>
              </w:rPr>
              <w:t>9.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7126D9">
              <w:rPr>
                <w:rStyle w:val="Hyperkobling"/>
                <w:noProof/>
              </w:rPr>
              <w:t>Hvorfor kommer det en prøvekommentar med «merkelig» innhold (f.eks. @2@4@6) ved elektronisk svar på hematologi-analyser?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_Toc34228790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2D5F9" w14:textId="4E96C584" w:rsidR="00656DB9" w:rsidRDefault="00656DB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228791" w:history="1">
            <w:r w:rsidRPr="007126D9">
              <w:rPr>
                <w:rStyle w:val="Hyperkobling"/>
                <w:noProof/>
              </w:rPr>
              <w:t>10.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7126D9">
              <w:rPr>
                <w:rStyle w:val="Hyperkobling"/>
                <w:noProof/>
              </w:rPr>
              <w:t>Hvorfor besvares analysene med andre navn enn det vi er vant til?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_Toc34228791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275C52" w14:textId="7F225EBD" w:rsidR="00656DB9" w:rsidRDefault="00656DB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228792" w:history="1">
            <w:r w:rsidRPr="007126D9">
              <w:rPr>
                <w:rStyle w:val="Hyperkobling"/>
                <w:noProof/>
              </w:rPr>
              <w:t>11.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7126D9">
              <w:rPr>
                <w:rStyle w:val="Hyperkobling"/>
                <w:noProof/>
              </w:rPr>
              <w:t>Hvorfor har noen analyser fått «PS-» som prefiks foran navnet når de besvares?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_Toc34228792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0D655E" w14:textId="7C24BCAD" w:rsidR="00656DB9" w:rsidRDefault="00656DB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228793" w:history="1">
            <w:r w:rsidRPr="007126D9">
              <w:rPr>
                <w:rStyle w:val="Hyperkobling"/>
                <w:noProof/>
              </w:rPr>
              <w:t>12.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7126D9">
              <w:rPr>
                <w:rStyle w:val="Hyperkobling"/>
                <w:noProof/>
              </w:rPr>
              <w:t>Hvorfor står det «X-» foran mange av analysenavnene?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_Toc34228793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F6AE1A" w14:textId="60A62CC6" w:rsidR="00656DB9" w:rsidRDefault="00656DB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228794" w:history="1">
            <w:r w:rsidRPr="007126D9">
              <w:rPr>
                <w:rStyle w:val="Hyperkobling"/>
                <w:noProof/>
              </w:rPr>
              <w:t>13.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7126D9">
              <w:rPr>
                <w:rStyle w:val="Hyperkobling"/>
                <w:noProof/>
              </w:rPr>
              <w:t>Hvorfor er analysene sortert på en ulogisk måte?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_Toc34228794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81E519" w14:textId="7758C061" w:rsidR="00656DB9" w:rsidRDefault="00656DB9">
          <w:pPr>
            <w:pStyle w:val="INNH3"/>
            <w:rPr>
              <w:rFonts w:eastAsiaTheme="minorEastAsia"/>
              <w:noProof/>
              <w:lang w:eastAsia="nb-NO"/>
            </w:rPr>
          </w:pPr>
          <w:hyperlink w:anchor="_Toc34228795" w:history="1">
            <w:r w:rsidRPr="007126D9">
              <w:rPr>
                <w:rStyle w:val="Hyperkobling"/>
                <w:noProof/>
              </w:rPr>
              <w:t>14.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7126D9">
              <w:rPr>
                <w:rStyle w:val="Hyperkobling"/>
                <w:noProof/>
              </w:rPr>
              <w:t>Hvorfor ser papirsvarrapporten annerledes ut enn før?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_Toc34228795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3EDF20" w14:textId="34940D33" w:rsidR="00656DB9" w:rsidRDefault="00656DB9">
          <w:pPr>
            <w:pStyle w:val="INNH3"/>
            <w:rPr>
              <w:rFonts w:eastAsiaTheme="minorEastAsia"/>
              <w:noProof/>
              <w:lang w:eastAsia="nb-NO"/>
            </w:rPr>
          </w:pPr>
          <w:hyperlink w:anchor="_Toc34228796" w:history="1">
            <w:r w:rsidRPr="007126D9">
              <w:rPr>
                <w:rStyle w:val="Hyperkobling"/>
                <w:noProof/>
              </w:rPr>
              <w:t>15.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7126D9">
              <w:rPr>
                <w:rStyle w:val="Hyperkobling"/>
                <w:noProof/>
              </w:rPr>
              <w:t>Hvorfor står det «utførende laboratorium» flere steder på papirsvarrapporten?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_Toc34228796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02AFCE" w14:textId="7D312B15" w:rsidR="00656DB9" w:rsidRDefault="00656DB9">
          <w:pPr>
            <w:pStyle w:val="INNH3"/>
            <w:rPr>
              <w:rFonts w:eastAsiaTheme="minorEastAsia"/>
              <w:noProof/>
              <w:lang w:eastAsia="nb-NO"/>
            </w:rPr>
          </w:pPr>
          <w:hyperlink w:anchor="_Toc34228797" w:history="1">
            <w:r w:rsidRPr="007126D9">
              <w:rPr>
                <w:rStyle w:val="Hyperkobling"/>
                <w:noProof/>
              </w:rPr>
              <w:t>16.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7126D9">
              <w:rPr>
                <w:rStyle w:val="Hyperkobling"/>
                <w:noProof/>
              </w:rPr>
              <w:t>Hvorfor står det K1, K2 og K3 på papirsvarrapporten?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_Toc34228797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1F623A" w14:textId="723318DB" w:rsidR="00656DB9" w:rsidRDefault="00656DB9">
          <w:pPr>
            <w:pStyle w:val="INNH3"/>
            <w:rPr>
              <w:rFonts w:eastAsiaTheme="minorEastAsia"/>
              <w:noProof/>
              <w:lang w:eastAsia="nb-NO"/>
            </w:rPr>
          </w:pPr>
          <w:hyperlink w:anchor="_Toc34228798" w:history="1">
            <w:r w:rsidRPr="007126D9">
              <w:rPr>
                <w:rStyle w:val="Hyperkobling"/>
                <w:rFonts w:cstheme="majorHAnsi"/>
                <w:noProof/>
              </w:rPr>
              <w:t>17.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7126D9">
              <w:rPr>
                <w:rStyle w:val="Hyperkobling"/>
                <w:noProof/>
              </w:rPr>
              <w:t>Hvorfor er det nye benevninger på rusmiddelanalyser i urin?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_Toc34228798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083697" w14:textId="76F4C130" w:rsidR="00656DB9" w:rsidRDefault="00656DB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228799" w:history="1">
            <w:r w:rsidRPr="007126D9">
              <w:rPr>
                <w:rStyle w:val="Hyperkobling"/>
                <w:noProof/>
              </w:rPr>
              <w:t>18.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7126D9">
              <w:rPr>
                <w:rStyle w:val="Hyperkobling"/>
                <w:noProof/>
              </w:rPr>
              <w:t>Vil Helse Møre- og Romsdal og Nord-Trøndelag oppleve endringer?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_Toc34228799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2331CB" w14:textId="2172E739" w:rsidR="00656DB9" w:rsidRDefault="00656DB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228800" w:history="1">
            <w:r w:rsidRPr="007126D9">
              <w:rPr>
                <w:rStyle w:val="Hyperkobling"/>
                <w:noProof/>
              </w:rPr>
              <w:t>19.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7126D9">
              <w:rPr>
                <w:rStyle w:val="Hyperkobling"/>
                <w:noProof/>
              </w:rPr>
              <w:t>Har du spørsmål eller vil varsle oss om noe?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_Toc34228800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BFBBBF" w14:textId="33F0D8F1" w:rsidR="002A003D" w:rsidRDefault="002A003D">
          <w:r>
            <w:rPr>
              <w:b/>
              <w:bCs/>
            </w:rPr>
            <w:fldChar w:fldCharType="end"/>
          </w:r>
        </w:p>
      </w:sdtContent>
    </w:sdt>
    <w:p w14:paraId="2F08D34E" w14:textId="14F55264" w:rsidR="00CD5A19" w:rsidRDefault="00CD5A19"/>
    <w:p w14:paraId="74E3CBE4" w14:textId="4B14C592" w:rsidR="00CD5A19" w:rsidRPr="00CD5A19" w:rsidRDefault="00CD5A19" w:rsidP="00CD5A19"/>
    <w:p w14:paraId="1D24B29C" w14:textId="77777777" w:rsidR="00C93350" w:rsidRDefault="00C93350" w:rsidP="00E260DA">
      <w:pPr>
        <w:pStyle w:val="Overskrift1"/>
      </w:pPr>
    </w:p>
    <w:p w14:paraId="66B5CA76" w14:textId="77777777" w:rsidR="00C93350" w:rsidRPr="00C93350" w:rsidRDefault="00C93350" w:rsidP="00C93350"/>
    <w:p w14:paraId="4876BD42" w14:textId="422A6FF4" w:rsidR="00FA6E27" w:rsidRDefault="00FA6E27" w:rsidP="00BF7A28">
      <w:pPr>
        <w:pStyle w:val="Overskrift2"/>
        <w:numPr>
          <w:ilvl w:val="0"/>
          <w:numId w:val="2"/>
        </w:numPr>
      </w:pPr>
      <w:bookmarkStart w:id="2" w:name="_Toc34228782"/>
      <w:r>
        <w:t>Jeg får ikke til å rekvirere i IHR den 7.mars?</w:t>
      </w:r>
      <w:bookmarkEnd w:id="2"/>
    </w:p>
    <w:p w14:paraId="5E1757B6" w14:textId="440767ED" w:rsidR="00FA6E27" w:rsidRPr="00FA6E27" w:rsidRDefault="00FA6E27" w:rsidP="00FA6E27">
      <w:r w:rsidRPr="00FA6E27">
        <w:t xml:space="preserve">I forbindelse </w:t>
      </w:r>
      <w:r>
        <w:t xml:space="preserve">med </w:t>
      </w:r>
      <w:r w:rsidRPr="00FA6E27">
        <w:t>produksjon</w:t>
      </w:r>
      <w:r>
        <w:t xml:space="preserve">ssetting av nytt laboratoriesystem må vi </w:t>
      </w:r>
      <w:r w:rsidRPr="00FA6E27">
        <w:t xml:space="preserve">oppdatere </w:t>
      </w:r>
      <w:r>
        <w:t>IHR-</w:t>
      </w:r>
      <w:r w:rsidRPr="00FA6E27">
        <w:t xml:space="preserve">tjenestekatalogen med bl.a. nye </w:t>
      </w:r>
      <w:r w:rsidR="009A2F98">
        <w:t>lister for prøve</w:t>
      </w:r>
      <w:r w:rsidRPr="00FA6E27">
        <w:t xml:space="preserve">materialer, </w:t>
      </w:r>
      <w:r w:rsidR="009A2F98">
        <w:t>prøve</w:t>
      </w:r>
      <w:r w:rsidRPr="00FA6E27">
        <w:t>lokalisasjon</w:t>
      </w:r>
      <w:r w:rsidR="00056A30">
        <w:t>er</w:t>
      </w:r>
      <w:r w:rsidRPr="00FA6E27">
        <w:t xml:space="preserve"> og </w:t>
      </w:r>
      <w:r w:rsidR="009A2F98">
        <w:t>analyse</w:t>
      </w:r>
      <w:r w:rsidRPr="00FA6E27">
        <w:t>spørsmål. Rekvireringen fra IHR til Helse Midt-Norge vil derfor ikke være tilgjengelig lørdag 7. mars</w:t>
      </w:r>
      <w:r w:rsidR="00463072">
        <w:t>. Bestillinger den 7.mars må derfor sendes påfølgende dag, eller på papir.</w:t>
      </w:r>
    </w:p>
    <w:p w14:paraId="5A257AFE" w14:textId="256901CC" w:rsidR="00A56DAF" w:rsidRDefault="00940E57" w:rsidP="00BF7A28">
      <w:pPr>
        <w:pStyle w:val="Overskrift2"/>
        <w:numPr>
          <w:ilvl w:val="0"/>
          <w:numId w:val="2"/>
        </w:numPr>
      </w:pPr>
      <w:bookmarkStart w:id="3" w:name="_Toc34228783"/>
      <w:r>
        <w:t>J</w:t>
      </w:r>
      <w:r w:rsidR="007F4F56">
        <w:t>eg</w:t>
      </w:r>
      <w:r>
        <w:t xml:space="preserve"> finner</w:t>
      </w:r>
      <w:r w:rsidR="007F4F56">
        <w:t xml:space="preserve"> ikke alle analysene </w:t>
      </w:r>
      <w:r w:rsidR="009A2E38">
        <w:t xml:space="preserve">som før kunne rekvireres </w:t>
      </w:r>
      <w:r w:rsidR="007F4F56">
        <w:t xml:space="preserve">i </w:t>
      </w:r>
      <w:r w:rsidR="00F31D9A">
        <w:t>IHR?</w:t>
      </w:r>
      <w:bookmarkEnd w:id="3"/>
    </w:p>
    <w:p w14:paraId="3B97D5DC" w14:textId="369AB74C" w:rsidR="007F4F56" w:rsidRPr="00255828" w:rsidRDefault="007F4F56" w:rsidP="00255828">
      <w:pPr>
        <w:rPr>
          <w:rFonts w:asciiTheme="majorHAnsi" w:hAnsiTheme="majorHAnsi" w:cstheme="majorHAnsi"/>
        </w:rPr>
      </w:pPr>
      <w:r w:rsidRPr="00255828">
        <w:rPr>
          <w:rFonts w:asciiTheme="majorHAnsi" w:hAnsiTheme="majorHAnsi" w:cstheme="majorHAnsi"/>
        </w:rPr>
        <w:t>I forbindelse med nytt laboratori</w:t>
      </w:r>
      <w:r w:rsidR="009A2E38">
        <w:rPr>
          <w:rFonts w:asciiTheme="majorHAnsi" w:hAnsiTheme="majorHAnsi" w:cstheme="majorHAnsi"/>
        </w:rPr>
        <w:t xml:space="preserve">edatasystem har vi ryddet i </w:t>
      </w:r>
      <w:r w:rsidR="00F31D9A">
        <w:rPr>
          <w:rFonts w:asciiTheme="majorHAnsi" w:hAnsiTheme="majorHAnsi" w:cstheme="majorHAnsi"/>
        </w:rPr>
        <w:t>IHR</w:t>
      </w:r>
      <w:r w:rsidR="009A2E38">
        <w:rPr>
          <w:rFonts w:asciiTheme="majorHAnsi" w:hAnsiTheme="majorHAnsi" w:cstheme="majorHAnsi"/>
        </w:rPr>
        <w:t xml:space="preserve"> og fjernet noen </w:t>
      </w:r>
      <w:r w:rsidRPr="00255828">
        <w:rPr>
          <w:rFonts w:asciiTheme="majorHAnsi" w:hAnsiTheme="majorHAnsi" w:cstheme="majorHAnsi"/>
        </w:rPr>
        <w:t>gamle analyser</w:t>
      </w:r>
      <w:r w:rsidR="009A2E38">
        <w:rPr>
          <w:rFonts w:asciiTheme="majorHAnsi" w:hAnsiTheme="majorHAnsi" w:cstheme="majorHAnsi"/>
        </w:rPr>
        <w:t>.</w:t>
      </w:r>
    </w:p>
    <w:p w14:paraId="161A9912" w14:textId="0A98263D" w:rsidR="00CE1A05" w:rsidRDefault="00E62DBC" w:rsidP="00CE1A05">
      <w:pPr>
        <w:pStyle w:val="Overskrift2"/>
        <w:numPr>
          <w:ilvl w:val="0"/>
          <w:numId w:val="2"/>
        </w:numPr>
      </w:pPr>
      <w:bookmarkStart w:id="4" w:name="_Toc34228784"/>
      <w:r>
        <w:t xml:space="preserve">Jeg finner ikke aktuelt </w:t>
      </w:r>
      <w:r w:rsidR="009F4D6A">
        <w:t>prøvemateriale</w:t>
      </w:r>
      <w:r>
        <w:t xml:space="preserve"> </w:t>
      </w:r>
      <w:r w:rsidR="00F5339B">
        <w:t xml:space="preserve">eller prøvelokalisasjon </w:t>
      </w:r>
      <w:r w:rsidR="00460643">
        <w:t xml:space="preserve">blant valgmulighetene </w:t>
      </w:r>
      <w:r w:rsidR="000D7279">
        <w:t>i IHR</w:t>
      </w:r>
      <w:bookmarkEnd w:id="4"/>
    </w:p>
    <w:p w14:paraId="2C1CD4B6" w14:textId="0C7B082A" w:rsidR="00DB451F" w:rsidRDefault="00353A2C" w:rsidP="00E62DB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 fleste </w:t>
      </w:r>
      <w:r w:rsidR="00F5339B">
        <w:rPr>
          <w:rFonts w:asciiTheme="majorHAnsi" w:hAnsiTheme="majorHAnsi" w:cstheme="majorHAnsi"/>
        </w:rPr>
        <w:t xml:space="preserve">relevante </w:t>
      </w:r>
      <w:r>
        <w:rPr>
          <w:rFonts w:asciiTheme="majorHAnsi" w:hAnsiTheme="majorHAnsi" w:cstheme="majorHAnsi"/>
        </w:rPr>
        <w:t xml:space="preserve">prøvematerialer </w:t>
      </w:r>
      <w:r w:rsidR="00B1639C">
        <w:rPr>
          <w:rFonts w:asciiTheme="majorHAnsi" w:hAnsiTheme="majorHAnsi" w:cstheme="majorHAnsi"/>
        </w:rPr>
        <w:t xml:space="preserve">og </w:t>
      </w:r>
      <w:r w:rsidR="00F5339B">
        <w:rPr>
          <w:rFonts w:asciiTheme="majorHAnsi" w:hAnsiTheme="majorHAnsi" w:cstheme="majorHAnsi"/>
        </w:rPr>
        <w:t>prøveloka</w:t>
      </w:r>
      <w:r w:rsidR="004134D3">
        <w:rPr>
          <w:rFonts w:asciiTheme="majorHAnsi" w:hAnsiTheme="majorHAnsi" w:cstheme="majorHAnsi"/>
        </w:rPr>
        <w:t>lisa</w:t>
      </w:r>
      <w:r w:rsidR="00F5339B">
        <w:rPr>
          <w:rFonts w:asciiTheme="majorHAnsi" w:hAnsiTheme="majorHAnsi" w:cstheme="majorHAnsi"/>
        </w:rPr>
        <w:t xml:space="preserve">sjoner </w:t>
      </w:r>
      <w:r>
        <w:rPr>
          <w:rFonts w:asciiTheme="majorHAnsi" w:hAnsiTheme="majorHAnsi" w:cstheme="majorHAnsi"/>
        </w:rPr>
        <w:t>skal være dekket av</w:t>
      </w:r>
      <w:r w:rsidR="00460643">
        <w:rPr>
          <w:rFonts w:asciiTheme="majorHAnsi" w:hAnsiTheme="majorHAnsi" w:cstheme="majorHAnsi"/>
        </w:rPr>
        <w:t xml:space="preserve"> de som nå er på plukklistene</w:t>
      </w:r>
      <w:r w:rsidR="00E43CEF">
        <w:rPr>
          <w:rFonts w:asciiTheme="majorHAnsi" w:hAnsiTheme="majorHAnsi" w:cstheme="majorHAnsi"/>
        </w:rPr>
        <w:t xml:space="preserve">. Ofte vil </w:t>
      </w:r>
      <w:r w:rsidR="0014115F">
        <w:rPr>
          <w:rFonts w:asciiTheme="majorHAnsi" w:hAnsiTheme="majorHAnsi" w:cstheme="majorHAnsi"/>
        </w:rPr>
        <w:t>prøvematerialet være for eksempel «</w:t>
      </w:r>
      <w:r w:rsidR="0072778B">
        <w:rPr>
          <w:rFonts w:asciiTheme="majorHAnsi" w:hAnsiTheme="majorHAnsi" w:cstheme="majorHAnsi"/>
        </w:rPr>
        <w:t>sår</w:t>
      </w:r>
      <w:r w:rsidR="00DB451F">
        <w:rPr>
          <w:rFonts w:asciiTheme="majorHAnsi" w:hAnsiTheme="majorHAnsi" w:cstheme="majorHAnsi"/>
        </w:rPr>
        <w:t>s</w:t>
      </w:r>
      <w:r w:rsidR="0014115F">
        <w:rPr>
          <w:rFonts w:asciiTheme="majorHAnsi" w:hAnsiTheme="majorHAnsi" w:cstheme="majorHAnsi"/>
        </w:rPr>
        <w:t>ekret»</w:t>
      </w:r>
      <w:r w:rsidR="00686B61">
        <w:rPr>
          <w:rFonts w:asciiTheme="majorHAnsi" w:hAnsiTheme="majorHAnsi" w:cstheme="majorHAnsi"/>
        </w:rPr>
        <w:t xml:space="preserve">, </w:t>
      </w:r>
      <w:r w:rsidR="0014115F">
        <w:rPr>
          <w:rFonts w:asciiTheme="majorHAnsi" w:hAnsiTheme="majorHAnsi" w:cstheme="majorHAnsi"/>
        </w:rPr>
        <w:t>«</w:t>
      </w:r>
      <w:r w:rsidR="00DB451F">
        <w:rPr>
          <w:rFonts w:asciiTheme="majorHAnsi" w:hAnsiTheme="majorHAnsi" w:cstheme="majorHAnsi"/>
        </w:rPr>
        <w:t>a</w:t>
      </w:r>
      <w:r w:rsidR="0014115F">
        <w:rPr>
          <w:rFonts w:asciiTheme="majorHAnsi" w:hAnsiTheme="majorHAnsi" w:cstheme="majorHAnsi"/>
        </w:rPr>
        <w:t>vskrap»</w:t>
      </w:r>
      <w:r w:rsidR="0072778B">
        <w:rPr>
          <w:rFonts w:asciiTheme="majorHAnsi" w:hAnsiTheme="majorHAnsi" w:cstheme="majorHAnsi"/>
        </w:rPr>
        <w:t xml:space="preserve"> eller «</w:t>
      </w:r>
      <w:r w:rsidR="00686B61">
        <w:rPr>
          <w:rFonts w:asciiTheme="majorHAnsi" w:hAnsiTheme="majorHAnsi" w:cstheme="majorHAnsi"/>
        </w:rPr>
        <w:t>sekret»</w:t>
      </w:r>
      <w:r w:rsidR="0014115F">
        <w:rPr>
          <w:rFonts w:asciiTheme="majorHAnsi" w:hAnsiTheme="majorHAnsi" w:cstheme="majorHAnsi"/>
        </w:rPr>
        <w:t xml:space="preserve">, mens </w:t>
      </w:r>
      <w:r w:rsidR="00E43CEF">
        <w:rPr>
          <w:rFonts w:asciiTheme="majorHAnsi" w:hAnsiTheme="majorHAnsi" w:cstheme="majorHAnsi"/>
        </w:rPr>
        <w:t>videre spesifisering av hvor prøven er tatt fra (slik som «</w:t>
      </w:r>
      <w:r w:rsidR="00DB451F">
        <w:rPr>
          <w:rFonts w:asciiTheme="majorHAnsi" w:hAnsiTheme="majorHAnsi" w:cstheme="majorHAnsi"/>
        </w:rPr>
        <w:t xml:space="preserve">nese» eller «øre» </w:t>
      </w:r>
      <w:r w:rsidR="00686B61">
        <w:rPr>
          <w:rFonts w:asciiTheme="majorHAnsi" w:hAnsiTheme="majorHAnsi" w:cstheme="majorHAnsi"/>
        </w:rPr>
        <w:t>eller «rygg»</w:t>
      </w:r>
      <w:r w:rsidR="00DB451F">
        <w:rPr>
          <w:rFonts w:asciiTheme="majorHAnsi" w:hAnsiTheme="majorHAnsi" w:cstheme="majorHAnsi"/>
        </w:rPr>
        <w:t xml:space="preserve">) </w:t>
      </w:r>
      <w:r w:rsidR="00E43CEF">
        <w:rPr>
          <w:rFonts w:asciiTheme="majorHAnsi" w:hAnsiTheme="majorHAnsi" w:cstheme="majorHAnsi"/>
        </w:rPr>
        <w:t>gjøres ved å velge fra loka</w:t>
      </w:r>
      <w:r w:rsidR="00E05D44">
        <w:rPr>
          <w:rFonts w:asciiTheme="majorHAnsi" w:hAnsiTheme="majorHAnsi" w:cstheme="majorHAnsi"/>
        </w:rPr>
        <w:t>lisa</w:t>
      </w:r>
      <w:r w:rsidR="00460643">
        <w:rPr>
          <w:rFonts w:asciiTheme="majorHAnsi" w:hAnsiTheme="majorHAnsi" w:cstheme="majorHAnsi"/>
        </w:rPr>
        <w:t>sjonslisten.</w:t>
      </w:r>
    </w:p>
    <w:p w14:paraId="24F8BEB3" w14:textId="03887448" w:rsidR="00F5339B" w:rsidRDefault="00F5339B" w:rsidP="00E62DB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</w:t>
      </w:r>
      <w:r w:rsidR="00056A30">
        <w:rPr>
          <w:rFonts w:asciiTheme="majorHAnsi" w:hAnsiTheme="majorHAnsi" w:cstheme="majorHAnsi"/>
        </w:rPr>
        <w:t>rsom du likevel ikke finner passende prøvemateriale</w:t>
      </w:r>
      <w:r>
        <w:rPr>
          <w:rFonts w:asciiTheme="majorHAnsi" w:hAnsiTheme="majorHAnsi" w:cstheme="majorHAnsi"/>
        </w:rPr>
        <w:t xml:space="preserve"> kan du velge alternativet «P</w:t>
      </w:r>
      <w:r w:rsidR="00E62DBC" w:rsidRPr="00D57EB1">
        <w:rPr>
          <w:rFonts w:asciiTheme="majorHAnsi" w:hAnsiTheme="majorHAnsi" w:cstheme="majorHAnsi"/>
        </w:rPr>
        <w:t xml:space="preserve">røve» </w:t>
      </w:r>
      <w:r>
        <w:rPr>
          <w:rFonts w:asciiTheme="majorHAnsi" w:hAnsiTheme="majorHAnsi" w:cstheme="majorHAnsi"/>
        </w:rPr>
        <w:t>(det som før het «Uspesifisert»</w:t>
      </w:r>
      <w:r w:rsidR="00C22E3C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, og angi detaljer under kliniske opplysninger. Tilsvarende, for prøvelokalisasjon kan du angi «Ikke nærmere angitt», og evt supplere under kliniske opplysninger.</w:t>
      </w:r>
    </w:p>
    <w:p w14:paraId="4E6E89C9" w14:textId="53738F40" w:rsidR="00E62DBC" w:rsidRDefault="00C22E3C" w:rsidP="00E62DB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Og dersom du ikke finner </w:t>
      </w:r>
      <w:r w:rsidR="00E62DBC" w:rsidRPr="00FA0D1D">
        <w:rPr>
          <w:rFonts w:asciiTheme="majorHAnsi" w:hAnsiTheme="majorHAnsi" w:cstheme="majorHAnsi"/>
          <w:u w:val="single"/>
        </w:rPr>
        <w:t>analyse</w:t>
      </w:r>
      <w:r w:rsidRPr="00FA0D1D">
        <w:rPr>
          <w:rFonts w:asciiTheme="majorHAnsi" w:hAnsiTheme="majorHAnsi" w:cstheme="majorHAnsi"/>
          <w:u w:val="single"/>
        </w:rPr>
        <w:t>n</w:t>
      </w:r>
      <w:r>
        <w:rPr>
          <w:rFonts w:asciiTheme="majorHAnsi" w:hAnsiTheme="majorHAnsi" w:cstheme="majorHAnsi"/>
        </w:rPr>
        <w:t xml:space="preserve"> du ønsker</w:t>
      </w:r>
      <w:r w:rsidR="00E62DBC" w:rsidRPr="00D57EB1">
        <w:rPr>
          <w:rFonts w:asciiTheme="majorHAnsi" w:hAnsiTheme="majorHAnsi" w:cstheme="majorHAnsi"/>
        </w:rPr>
        <w:t>, vel</w:t>
      </w:r>
      <w:r w:rsidR="009F4D6A">
        <w:rPr>
          <w:rFonts w:asciiTheme="majorHAnsi" w:hAnsiTheme="majorHAnsi" w:cstheme="majorHAnsi"/>
        </w:rPr>
        <w:t>g</w:t>
      </w:r>
      <w:r w:rsidR="00E62DBC" w:rsidRPr="00D57EB1">
        <w:rPr>
          <w:rFonts w:asciiTheme="majorHAnsi" w:hAnsiTheme="majorHAnsi" w:cstheme="majorHAnsi"/>
        </w:rPr>
        <w:t>er du «Annet»</w:t>
      </w:r>
      <w:r w:rsidR="00D57EB1">
        <w:rPr>
          <w:rFonts w:asciiTheme="majorHAnsi" w:hAnsiTheme="majorHAnsi" w:cstheme="majorHAnsi"/>
        </w:rPr>
        <w:t>.</w:t>
      </w:r>
      <w:r w:rsidR="00EA510C">
        <w:rPr>
          <w:rFonts w:asciiTheme="majorHAnsi" w:hAnsiTheme="majorHAnsi" w:cstheme="majorHAnsi"/>
        </w:rPr>
        <w:t xml:space="preserve"> Husk</w:t>
      </w:r>
      <w:r>
        <w:rPr>
          <w:rFonts w:asciiTheme="majorHAnsi" w:hAnsiTheme="majorHAnsi" w:cstheme="majorHAnsi"/>
        </w:rPr>
        <w:t xml:space="preserve"> da</w:t>
      </w:r>
      <w:r w:rsidR="00EA510C">
        <w:rPr>
          <w:rFonts w:asciiTheme="majorHAnsi" w:hAnsiTheme="majorHAnsi" w:cstheme="majorHAnsi"/>
        </w:rPr>
        <w:t xml:space="preserve"> å velge ønsket agens samt </w:t>
      </w:r>
      <w:r>
        <w:rPr>
          <w:rFonts w:asciiTheme="majorHAnsi" w:hAnsiTheme="majorHAnsi" w:cstheme="majorHAnsi"/>
        </w:rPr>
        <w:t xml:space="preserve">å </w:t>
      </w:r>
      <w:r w:rsidR="00EA510C">
        <w:rPr>
          <w:rFonts w:asciiTheme="majorHAnsi" w:hAnsiTheme="majorHAnsi" w:cstheme="majorHAnsi"/>
        </w:rPr>
        <w:t xml:space="preserve">skrive i </w:t>
      </w:r>
      <w:r w:rsidR="00700D52">
        <w:rPr>
          <w:rFonts w:asciiTheme="majorHAnsi" w:hAnsiTheme="majorHAnsi" w:cstheme="majorHAnsi"/>
        </w:rPr>
        <w:t>kliniske opplysninger hvor prøven er tatt fra</w:t>
      </w:r>
      <w:r w:rsidR="00BC0EF7">
        <w:rPr>
          <w:rFonts w:asciiTheme="majorHAnsi" w:hAnsiTheme="majorHAnsi" w:cstheme="majorHAnsi"/>
        </w:rPr>
        <w:t>.</w:t>
      </w:r>
    </w:p>
    <w:p w14:paraId="5CF0AFEB" w14:textId="76F6EABC" w:rsidR="00E62DBC" w:rsidRDefault="00995076" w:rsidP="00E62DBC">
      <w:pPr>
        <w:pStyle w:val="Overskrift2"/>
        <w:numPr>
          <w:ilvl w:val="0"/>
          <w:numId w:val="2"/>
        </w:numPr>
      </w:pPr>
      <w:bookmarkStart w:id="5" w:name="_Toc34228785"/>
      <w:r>
        <w:t>Hva er forskjellen på «s</w:t>
      </w:r>
      <w:r w:rsidR="00E62DBC">
        <w:t>årsekret</w:t>
      </w:r>
      <w:r>
        <w:t>» og «s</w:t>
      </w:r>
      <w:r w:rsidR="00E62DBC">
        <w:t>ekret</w:t>
      </w:r>
      <w:r>
        <w:t>»</w:t>
      </w:r>
      <w:r w:rsidR="000D7279">
        <w:t xml:space="preserve"> i IHR</w:t>
      </w:r>
      <w:r w:rsidR="00E62DBC">
        <w:t>?</w:t>
      </w:r>
      <w:bookmarkEnd w:id="5"/>
    </w:p>
    <w:p w14:paraId="3950E0DD" w14:textId="06EADE1A" w:rsidR="00E62DBC" w:rsidRDefault="00854896" w:rsidP="00E62DBC">
      <w:pPr>
        <w:rPr>
          <w:rFonts w:asciiTheme="majorHAnsi" w:hAnsiTheme="majorHAnsi" w:cstheme="majorHAnsi"/>
        </w:rPr>
      </w:pPr>
      <w:r w:rsidRPr="00D57EB1">
        <w:rPr>
          <w:rFonts w:asciiTheme="majorHAnsi" w:hAnsiTheme="majorHAnsi" w:cstheme="majorHAnsi"/>
        </w:rPr>
        <w:t>«Sårsek</w:t>
      </w:r>
      <w:r>
        <w:rPr>
          <w:rFonts w:asciiTheme="majorHAnsi" w:hAnsiTheme="majorHAnsi" w:cstheme="majorHAnsi"/>
        </w:rPr>
        <w:t>r</w:t>
      </w:r>
      <w:r w:rsidRPr="00D57EB1">
        <w:rPr>
          <w:rFonts w:asciiTheme="majorHAnsi" w:hAnsiTheme="majorHAnsi" w:cstheme="majorHAnsi"/>
        </w:rPr>
        <w:t xml:space="preserve">et» </w:t>
      </w:r>
      <w:r>
        <w:rPr>
          <w:rFonts w:asciiTheme="majorHAnsi" w:hAnsiTheme="majorHAnsi" w:cstheme="majorHAnsi"/>
        </w:rPr>
        <w:t>brukes for prøver fra alle typer sår (</w:t>
      </w:r>
      <w:r w:rsidR="001D24C2">
        <w:rPr>
          <w:rFonts w:asciiTheme="majorHAnsi" w:hAnsiTheme="majorHAnsi" w:cstheme="majorHAnsi"/>
        </w:rPr>
        <w:t xml:space="preserve">brannsår, diabetessår, bitt, klor, operasjonssår, osv). </w:t>
      </w:r>
      <w:r w:rsidR="00995076" w:rsidRPr="00D57EB1">
        <w:rPr>
          <w:rFonts w:asciiTheme="majorHAnsi" w:hAnsiTheme="majorHAnsi" w:cstheme="majorHAnsi"/>
        </w:rPr>
        <w:t xml:space="preserve">«Sekret» </w:t>
      </w:r>
      <w:r w:rsidR="001D24C2">
        <w:rPr>
          <w:rFonts w:asciiTheme="majorHAnsi" w:hAnsiTheme="majorHAnsi" w:cstheme="majorHAnsi"/>
        </w:rPr>
        <w:t xml:space="preserve">brukes når prøvematerialet </w:t>
      </w:r>
      <w:r w:rsidR="00995076" w:rsidRPr="00D57EB1">
        <w:rPr>
          <w:rFonts w:asciiTheme="majorHAnsi" w:hAnsiTheme="majorHAnsi" w:cstheme="majorHAnsi"/>
        </w:rPr>
        <w:t xml:space="preserve">er sekret fra lokalisasjoner man </w:t>
      </w:r>
      <w:r w:rsidR="00D57EB1" w:rsidRPr="00D57EB1">
        <w:rPr>
          <w:rFonts w:asciiTheme="majorHAnsi" w:hAnsiTheme="majorHAnsi" w:cstheme="majorHAnsi"/>
        </w:rPr>
        <w:t xml:space="preserve">normalt vil forvente sekresjon </w:t>
      </w:r>
      <w:r>
        <w:rPr>
          <w:rFonts w:asciiTheme="majorHAnsi" w:hAnsiTheme="majorHAnsi" w:cstheme="majorHAnsi"/>
        </w:rPr>
        <w:t xml:space="preserve">fra </w:t>
      </w:r>
      <w:r w:rsidR="00D57EB1" w:rsidRPr="00D57EB1">
        <w:rPr>
          <w:rFonts w:asciiTheme="majorHAnsi" w:hAnsiTheme="majorHAnsi" w:cstheme="majorHAnsi"/>
        </w:rPr>
        <w:t>(anus, nese, øye, munn etc.).</w:t>
      </w:r>
    </w:p>
    <w:p w14:paraId="5A26DCCC" w14:textId="771B1CBB" w:rsidR="00394E04" w:rsidRDefault="00394E04" w:rsidP="00394E04">
      <w:pPr>
        <w:pStyle w:val="Overskrift2"/>
        <w:numPr>
          <w:ilvl w:val="0"/>
          <w:numId w:val="2"/>
        </w:numPr>
      </w:pPr>
      <w:bookmarkStart w:id="6" w:name="_Toc34228786"/>
      <w:r>
        <w:t>Det er ikke mulig å velge «høyre» eller «venstre» som prøvelokalisasjon IHR</w:t>
      </w:r>
      <w:r w:rsidR="007A451C">
        <w:t>?</w:t>
      </w:r>
      <w:bookmarkEnd w:id="6"/>
    </w:p>
    <w:p w14:paraId="1FF16B22" w14:textId="1EE9F6C3" w:rsidR="00394E04" w:rsidRDefault="00394E04" w:rsidP="00394E04">
      <w:pPr>
        <w:rPr>
          <w:rFonts w:asciiTheme="majorHAnsi" w:hAnsiTheme="majorHAnsi" w:cstheme="majorHAnsi"/>
        </w:rPr>
      </w:pPr>
      <w:r w:rsidRPr="008803BE">
        <w:rPr>
          <w:rFonts w:asciiTheme="majorHAnsi" w:hAnsiTheme="majorHAnsi" w:cstheme="majorHAnsi"/>
        </w:rPr>
        <w:t>Listen over prøve</w:t>
      </w:r>
      <w:r>
        <w:rPr>
          <w:rFonts w:asciiTheme="majorHAnsi" w:hAnsiTheme="majorHAnsi" w:cstheme="majorHAnsi"/>
        </w:rPr>
        <w:t>lokalisasjoner</w:t>
      </w:r>
      <w:r w:rsidRPr="008803B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i IHR </w:t>
      </w:r>
      <w:r w:rsidRPr="008803BE">
        <w:rPr>
          <w:rFonts w:asciiTheme="majorHAnsi" w:hAnsiTheme="majorHAnsi" w:cstheme="majorHAnsi"/>
        </w:rPr>
        <w:t>er endret</w:t>
      </w:r>
      <w:r>
        <w:rPr>
          <w:rFonts w:asciiTheme="majorHAnsi" w:hAnsiTheme="majorHAnsi" w:cstheme="majorHAnsi"/>
        </w:rPr>
        <w:t xml:space="preserve"> og kortet noe ned</w:t>
      </w:r>
      <w:r w:rsidRPr="008803BE">
        <w:rPr>
          <w:rFonts w:asciiTheme="majorHAnsi" w:hAnsiTheme="majorHAnsi" w:cstheme="majorHAnsi"/>
        </w:rPr>
        <w:t>. Dette er gjort f</w:t>
      </w:r>
      <w:r>
        <w:rPr>
          <w:rFonts w:asciiTheme="majorHAnsi" w:hAnsiTheme="majorHAnsi" w:cstheme="majorHAnsi"/>
        </w:rPr>
        <w:t>or å få en mer presis og konsistent bruk av begreper, og for å unngå at rekvirenten får for lange plukklister å velge fra. Prøvelokalisasjonslisten er tiltenkt å gjenspeile det det informasjonsnivået som er relevant for laboratoriets håndtering av prøven</w:t>
      </w:r>
      <w:r w:rsidRPr="008803BE">
        <w:rPr>
          <w:rFonts w:asciiTheme="majorHAnsi" w:hAnsiTheme="majorHAnsi" w:cstheme="majorHAnsi"/>
        </w:rPr>
        <w:t xml:space="preserve">. Ved behov for å skille mellom </w:t>
      </w:r>
      <w:r>
        <w:rPr>
          <w:rFonts w:asciiTheme="majorHAnsi" w:hAnsiTheme="majorHAnsi" w:cstheme="majorHAnsi"/>
        </w:rPr>
        <w:t>h</w:t>
      </w:r>
      <w:r w:rsidRPr="008803BE">
        <w:rPr>
          <w:rFonts w:asciiTheme="majorHAnsi" w:hAnsiTheme="majorHAnsi" w:cstheme="majorHAnsi"/>
        </w:rPr>
        <w:t>øyre/venstre</w:t>
      </w:r>
      <w:r>
        <w:rPr>
          <w:rFonts w:asciiTheme="majorHAnsi" w:hAnsiTheme="majorHAnsi" w:cstheme="majorHAnsi"/>
        </w:rPr>
        <w:t xml:space="preserve"> eller detaljert topografisk lokalisasjon</w:t>
      </w:r>
      <w:r w:rsidRPr="008803BE">
        <w:rPr>
          <w:rFonts w:asciiTheme="majorHAnsi" w:hAnsiTheme="majorHAnsi" w:cstheme="majorHAnsi"/>
        </w:rPr>
        <w:t xml:space="preserve">, må dette spesifiseres </w:t>
      </w:r>
      <w:r>
        <w:rPr>
          <w:rFonts w:asciiTheme="majorHAnsi" w:hAnsiTheme="majorHAnsi" w:cstheme="majorHAnsi"/>
        </w:rPr>
        <w:t xml:space="preserve">i fritekst under «Kliniske opplysninger». Dette kan spesielt være aktuelt der det i prøvetakningen er </w:t>
      </w:r>
      <w:r w:rsidR="007A451C">
        <w:rPr>
          <w:rFonts w:asciiTheme="majorHAnsi" w:hAnsiTheme="majorHAnsi" w:cstheme="majorHAnsi"/>
        </w:rPr>
        <w:t>samlet</w:t>
      </w:r>
      <w:r>
        <w:rPr>
          <w:rFonts w:asciiTheme="majorHAnsi" w:hAnsiTheme="majorHAnsi" w:cstheme="majorHAnsi"/>
        </w:rPr>
        <w:t xml:space="preserve"> prøver fra flere ulike lokalisasjoner.</w:t>
      </w:r>
    </w:p>
    <w:p w14:paraId="5CAFEF2C" w14:textId="0940B36F" w:rsidR="009F4D6A" w:rsidRDefault="00B86117" w:rsidP="00394E04">
      <w:pPr>
        <w:pStyle w:val="Overskrift2"/>
        <w:numPr>
          <w:ilvl w:val="0"/>
          <w:numId w:val="2"/>
        </w:numPr>
      </w:pPr>
      <w:bookmarkStart w:id="7" w:name="_Toc34228787"/>
      <w:r>
        <w:t xml:space="preserve">Jeg får ikke til å endre </w:t>
      </w:r>
      <w:r w:rsidR="009F4D6A">
        <w:t>lokalisasjon</w:t>
      </w:r>
      <w:r w:rsidR="000D7279">
        <w:t xml:space="preserve"> i IHR</w:t>
      </w:r>
      <w:r>
        <w:t>?</w:t>
      </w:r>
      <w:bookmarkEnd w:id="7"/>
    </w:p>
    <w:p w14:paraId="25B17120" w14:textId="09383D27" w:rsidR="009F4D6A" w:rsidRDefault="009F4D6A" w:rsidP="009F4D6A">
      <w:pPr>
        <w:rPr>
          <w:rFonts w:asciiTheme="majorHAnsi" w:hAnsiTheme="majorHAnsi" w:cstheme="majorHAnsi"/>
        </w:rPr>
      </w:pPr>
      <w:r w:rsidRPr="00F33BA5">
        <w:rPr>
          <w:rFonts w:asciiTheme="majorHAnsi" w:hAnsiTheme="majorHAnsi" w:cstheme="majorHAnsi"/>
        </w:rPr>
        <w:t xml:space="preserve">Enkelte prøvemateriale trenger ikke spesifiseres nærmere, da det er </w:t>
      </w:r>
      <w:r w:rsidR="00F33BA5" w:rsidRPr="00F33BA5">
        <w:rPr>
          <w:rFonts w:asciiTheme="majorHAnsi" w:hAnsiTheme="majorHAnsi" w:cstheme="majorHAnsi"/>
        </w:rPr>
        <w:t>naturlig</w:t>
      </w:r>
      <w:r w:rsidR="00B86117">
        <w:rPr>
          <w:rFonts w:asciiTheme="majorHAnsi" w:hAnsiTheme="majorHAnsi" w:cstheme="majorHAnsi"/>
        </w:rPr>
        <w:t xml:space="preserve"> hvor prøven er tatt fra, for </w:t>
      </w:r>
      <w:r w:rsidRPr="00F33BA5">
        <w:rPr>
          <w:rFonts w:asciiTheme="majorHAnsi" w:hAnsiTheme="majorHAnsi" w:cstheme="majorHAnsi"/>
        </w:rPr>
        <w:t>eks. naso</w:t>
      </w:r>
      <w:r w:rsidR="00F33BA5" w:rsidRPr="00F33BA5">
        <w:rPr>
          <w:rFonts w:asciiTheme="majorHAnsi" w:hAnsiTheme="majorHAnsi" w:cstheme="majorHAnsi"/>
        </w:rPr>
        <w:t>farynks</w:t>
      </w:r>
      <w:r w:rsidR="00C20DB1">
        <w:rPr>
          <w:rFonts w:asciiTheme="majorHAnsi" w:hAnsiTheme="majorHAnsi" w:cstheme="majorHAnsi"/>
        </w:rPr>
        <w:t>a</w:t>
      </w:r>
      <w:r w:rsidR="00F33BA5" w:rsidRPr="00F33BA5">
        <w:rPr>
          <w:rFonts w:asciiTheme="majorHAnsi" w:hAnsiTheme="majorHAnsi" w:cstheme="majorHAnsi"/>
        </w:rPr>
        <w:t>s</w:t>
      </w:r>
      <w:r w:rsidR="00C20DB1">
        <w:rPr>
          <w:rFonts w:asciiTheme="majorHAnsi" w:hAnsiTheme="majorHAnsi" w:cstheme="majorHAnsi"/>
        </w:rPr>
        <w:t>pirat</w:t>
      </w:r>
      <w:r w:rsidR="00F33BA5" w:rsidRPr="00F33BA5">
        <w:rPr>
          <w:rFonts w:asciiTheme="majorHAnsi" w:hAnsiTheme="majorHAnsi" w:cstheme="majorHAnsi"/>
        </w:rPr>
        <w:t>.</w:t>
      </w:r>
      <w:r w:rsidR="00B86117">
        <w:rPr>
          <w:rFonts w:asciiTheme="majorHAnsi" w:hAnsiTheme="majorHAnsi" w:cstheme="majorHAnsi"/>
        </w:rPr>
        <w:t xml:space="preserve"> Lokalisasjonsfeltet er i disse tilfellene låst.</w:t>
      </w:r>
    </w:p>
    <w:p w14:paraId="4D8EC5BA" w14:textId="670E1920" w:rsidR="00CC4B64" w:rsidRDefault="00CC4B64" w:rsidP="009F4D6A">
      <w:pPr>
        <w:rPr>
          <w:rFonts w:asciiTheme="majorHAnsi" w:hAnsiTheme="majorHAnsi" w:cstheme="majorHAnsi"/>
        </w:rPr>
      </w:pPr>
    </w:p>
    <w:p w14:paraId="22E6DC69" w14:textId="77777777" w:rsidR="00CC4B64" w:rsidRDefault="00CC4B64" w:rsidP="009F4D6A">
      <w:pPr>
        <w:rPr>
          <w:rFonts w:asciiTheme="majorHAnsi" w:hAnsiTheme="majorHAnsi" w:cstheme="majorHAnsi"/>
        </w:rPr>
      </w:pPr>
    </w:p>
    <w:p w14:paraId="00F01C26" w14:textId="0E555D89" w:rsidR="00C13082" w:rsidRDefault="00C13082" w:rsidP="009F4D6A">
      <w:pPr>
        <w:rPr>
          <w:rFonts w:asciiTheme="majorHAnsi" w:hAnsiTheme="majorHAnsi" w:cstheme="majorHAnsi"/>
        </w:rPr>
      </w:pPr>
    </w:p>
    <w:p w14:paraId="7BF21643" w14:textId="114D0775" w:rsidR="00C13082" w:rsidRDefault="00C13082" w:rsidP="009F4D6A">
      <w:pPr>
        <w:rPr>
          <w:rFonts w:asciiTheme="majorHAnsi" w:hAnsiTheme="majorHAnsi" w:cstheme="majorHAnsi"/>
        </w:rPr>
      </w:pPr>
    </w:p>
    <w:p w14:paraId="5323E028" w14:textId="77777777" w:rsidR="00C13082" w:rsidRDefault="00C13082" w:rsidP="009F4D6A">
      <w:pPr>
        <w:rPr>
          <w:rFonts w:asciiTheme="majorHAnsi" w:hAnsiTheme="majorHAnsi" w:cstheme="majorHAnsi"/>
        </w:rPr>
      </w:pPr>
    </w:p>
    <w:p w14:paraId="5A0B81DE" w14:textId="2C82058A" w:rsidR="008763E4" w:rsidRDefault="008763E4" w:rsidP="00394E04">
      <w:pPr>
        <w:pStyle w:val="Overskrift2"/>
        <w:numPr>
          <w:ilvl w:val="0"/>
          <w:numId w:val="2"/>
        </w:numPr>
      </w:pPr>
      <w:bookmarkStart w:id="8" w:name="_Toc34228788"/>
      <w:r>
        <w:t>Hvor ofte sender dere ut elektroniske svar fra St Olav?</w:t>
      </w:r>
      <w:bookmarkEnd w:id="8"/>
    </w:p>
    <w:p w14:paraId="2BC8B1FB" w14:textId="03310CB2" w:rsidR="007F689B" w:rsidRDefault="007305A8" w:rsidP="008763E4">
      <w:r>
        <w:t xml:space="preserve">Frem til 7.mars har elektronisk svarrapport vært sendt ut </w:t>
      </w:r>
      <w:r w:rsidR="00A25B5E">
        <w:t xml:space="preserve">fra laboratoriene </w:t>
      </w:r>
      <w:r>
        <w:t>til faste tidspunkter</w:t>
      </w:r>
      <w:r w:rsidR="00A25B5E">
        <w:t xml:space="preserve">, to til sju ganger per dag, avhengig av utførende laboratorium. Etter 7.mars endres dette, og elektronisk svarrapport sendes ikke ut før alle analyser på rekvisisjonen er fullført. Dette er </w:t>
      </w:r>
      <w:r w:rsidR="007F689B">
        <w:t xml:space="preserve">satt opp etter ønske fra våre svarmottakerne, for å redusere antall delsvar man må kvittere på. Nå vil alle svar komme på samlet </w:t>
      </w:r>
      <w:r w:rsidR="00BD6D17">
        <w:t xml:space="preserve">elektronisk </w:t>
      </w:r>
      <w:r w:rsidR="007F689B">
        <w:t xml:space="preserve">svarrapport. Likevel, </w:t>
      </w:r>
      <w:r w:rsidR="00BF76C4">
        <w:t xml:space="preserve">for å forhindre at prøvesvar på raske analyser </w:t>
      </w:r>
      <w:r w:rsidR="007F689B">
        <w:t>s</w:t>
      </w:r>
      <w:r w:rsidR="009A701B">
        <w:t>kal holde</w:t>
      </w:r>
      <w:r w:rsidR="00BF76C4">
        <w:t>s</w:t>
      </w:r>
      <w:r w:rsidR="009A701B">
        <w:t xml:space="preserve"> tilbake </w:t>
      </w:r>
      <w:r w:rsidR="00BF76C4">
        <w:t>av analyser med lang svartid</w:t>
      </w:r>
      <w:r w:rsidR="009A701B">
        <w:t>, har vi definert unntak for en rekke analyser</w:t>
      </w:r>
      <w:r w:rsidR="00BF76C4">
        <w:t xml:space="preserve">, det vil si analyser som elektronisk </w:t>
      </w:r>
      <w:r w:rsidR="009A701B">
        <w:t xml:space="preserve">svarrapport ikke skal vente på. Denne listen består grovt sett av analyser der svartiden kan være mer enn </w:t>
      </w:r>
      <w:r w:rsidR="009A701B">
        <w:rPr>
          <w:rFonts w:cstheme="minorHAnsi"/>
        </w:rPr>
        <w:t>é</w:t>
      </w:r>
      <w:r w:rsidR="009A701B">
        <w:t xml:space="preserve">n dag. </w:t>
      </w:r>
      <w:r w:rsidR="00BF76C4">
        <w:t xml:space="preserve">Nå vil </w:t>
      </w:r>
      <w:r w:rsidR="009A701B">
        <w:t>svarrapporten gå ut så snart de «raske» analysene er ferdige, mens de som har lengre svartid kommer enkeltvis etter hvert som svarene foreligger.</w:t>
      </w:r>
    </w:p>
    <w:p w14:paraId="421B25C3" w14:textId="29F900C3" w:rsidR="0073491D" w:rsidRDefault="0073491D" w:rsidP="0073491D">
      <w:pPr>
        <w:pStyle w:val="Overskrift2"/>
        <w:numPr>
          <w:ilvl w:val="0"/>
          <w:numId w:val="2"/>
        </w:numPr>
      </w:pPr>
      <w:bookmarkStart w:id="9" w:name="_Toc34228789"/>
      <w:r>
        <w:t xml:space="preserve">Sender dere svar med lokale </w:t>
      </w:r>
      <w:r w:rsidR="00037159">
        <w:t>analyse</w:t>
      </w:r>
      <w:r>
        <w:t xml:space="preserve">navn og –koder eller </w:t>
      </w:r>
      <w:r w:rsidR="00037159">
        <w:t>Norsk laboratoriekodeverk (</w:t>
      </w:r>
      <w:r>
        <w:t>NLK</w:t>
      </w:r>
      <w:r w:rsidR="00037159">
        <w:t>)</w:t>
      </w:r>
      <w:r>
        <w:t>-navn og koder?</w:t>
      </w:r>
      <w:bookmarkEnd w:id="9"/>
    </w:p>
    <w:p w14:paraId="41889D54" w14:textId="51C2CD91" w:rsidR="004D2DF5" w:rsidRDefault="004D2DF5" w:rsidP="008763E4">
      <w:r>
        <w:t>På papirsvarrapporter vil vi kun benytte våre lokale analysenavn, med de regionale navnekonvensjonene vi nå har etablert.</w:t>
      </w:r>
    </w:p>
    <w:p w14:paraId="018A247C" w14:textId="2312DF78" w:rsidR="004D2DF5" w:rsidRDefault="004D2DF5" w:rsidP="008763E4">
      <w:r>
        <w:t xml:space="preserve">I elektroniske svarmeldinger vil vi, i </w:t>
      </w:r>
      <w:r w:rsidR="0075419A">
        <w:t xml:space="preserve">tråd med </w:t>
      </w:r>
      <w:r>
        <w:t xml:space="preserve">nasjonale retningslinjer fra Direktorat for Ehelse benytte: </w:t>
      </w:r>
    </w:p>
    <w:p w14:paraId="3C9CF079" w14:textId="77777777" w:rsidR="004D2DF5" w:rsidRDefault="0075419A" w:rsidP="004D2DF5">
      <w:pPr>
        <w:pStyle w:val="Listeavsnitt"/>
        <w:numPr>
          <w:ilvl w:val="0"/>
          <w:numId w:val="15"/>
        </w:numPr>
      </w:pPr>
      <w:r>
        <w:t xml:space="preserve">NLK-koder og navn for analyser der disse finnes og der de kan benyttes uten fare for misforstålser. </w:t>
      </w:r>
    </w:p>
    <w:p w14:paraId="633B9C47" w14:textId="28EFBB90" w:rsidR="0073491D" w:rsidRDefault="004D2DF5" w:rsidP="004D2DF5">
      <w:pPr>
        <w:pStyle w:val="Listeavsnitt"/>
        <w:numPr>
          <w:ilvl w:val="0"/>
          <w:numId w:val="15"/>
        </w:numPr>
      </w:pPr>
      <w:r>
        <w:t xml:space="preserve">Lokale navn og koder der det ikke finnes en </w:t>
      </w:r>
      <w:r w:rsidR="0075419A">
        <w:t>d</w:t>
      </w:r>
      <w:r>
        <w:t>ekkende NLK-kode.</w:t>
      </w:r>
    </w:p>
    <w:p w14:paraId="30DC9226" w14:textId="14C32DCC" w:rsidR="004D2DF5" w:rsidRDefault="004D2DF5" w:rsidP="004D2DF5">
      <w:r>
        <w:t xml:space="preserve">Mer om utrapportering av NLK-koder fra Helse Midt-Norges laboratorier </w:t>
      </w:r>
      <w:r w:rsidR="00037159">
        <w:t xml:space="preserve">fra 7.mars </w:t>
      </w:r>
      <w:r>
        <w:t xml:space="preserve">kan leses her: </w:t>
      </w:r>
      <w:hyperlink r:id="rId12" w:anchor="tidligere-publisert-informasjon-om-det-nye-laboratoriedatasystemet" w:history="1">
        <w:r>
          <w:rPr>
            <w:rStyle w:val="Hyperkobling"/>
          </w:rPr>
          <w:t>https://stolav.no/fag-og-forskning/lab/nytt-laboratoriedatasystem-driftsettes-7-mars-2020#tidligere-publisert-informasjon-om-det-nye-laboratoriedatasystemet</w:t>
        </w:r>
      </w:hyperlink>
    </w:p>
    <w:p w14:paraId="7580D5DA" w14:textId="3142D00B" w:rsidR="00CA327C" w:rsidRDefault="00CA327C" w:rsidP="0073491D">
      <w:pPr>
        <w:pStyle w:val="Overskrift2"/>
        <w:numPr>
          <w:ilvl w:val="0"/>
          <w:numId w:val="2"/>
        </w:numPr>
      </w:pPr>
      <w:bookmarkStart w:id="10" w:name="_Toc34228790"/>
      <w:r>
        <w:t xml:space="preserve">Hvorfor kommer det en prøvekommentar med «merkelig» innhold (f.eks. @2@4@6) ved </w:t>
      </w:r>
      <w:r w:rsidR="000B6032">
        <w:t xml:space="preserve">elektronisk svar på </w:t>
      </w:r>
      <w:r>
        <w:t>hematologi</w:t>
      </w:r>
      <w:r w:rsidR="000B6032">
        <w:t>-</w:t>
      </w:r>
      <w:r>
        <w:t>analyser?</w:t>
      </w:r>
      <w:bookmarkEnd w:id="10"/>
    </w:p>
    <w:p w14:paraId="7A4AB840" w14:textId="542B2390" w:rsidR="00CA327C" w:rsidRPr="00CA327C" w:rsidRDefault="00E8140A" w:rsidP="00CA327C">
      <w:r>
        <w:t xml:space="preserve">Dette er bare en «kode» som forteller laboratoriet hvilke hematologianalyser som er rekvirert. Vi beklager at den vises for </w:t>
      </w:r>
      <w:r w:rsidR="00AF1B8B">
        <w:t>elektroniske svarmottakere</w:t>
      </w:r>
      <w:r>
        <w:t xml:space="preserve">, men det har </w:t>
      </w:r>
      <w:r w:rsidR="00624D24">
        <w:t xml:space="preserve">så langt ikke vist seg mulig å </w:t>
      </w:r>
      <w:r>
        <w:t xml:space="preserve">gjøre den usynlig. </w:t>
      </w:r>
      <w:r w:rsidR="00624D24">
        <w:t xml:space="preserve">Koden </w:t>
      </w:r>
      <w:r>
        <w:t xml:space="preserve">har ingen </w:t>
      </w:r>
      <w:r w:rsidR="00AF1B8B">
        <w:t>klinisk betydning</w:t>
      </w:r>
      <w:r>
        <w:t>.</w:t>
      </w:r>
    </w:p>
    <w:p w14:paraId="5853EE04" w14:textId="3E184327" w:rsidR="00EB0618" w:rsidRDefault="00EB0618" w:rsidP="0073491D">
      <w:pPr>
        <w:pStyle w:val="Overskrift2"/>
        <w:numPr>
          <w:ilvl w:val="0"/>
          <w:numId w:val="2"/>
        </w:numPr>
      </w:pPr>
      <w:bookmarkStart w:id="11" w:name="_Toc34228791"/>
      <w:r>
        <w:t xml:space="preserve">Hvorfor besvares analysene med </w:t>
      </w:r>
      <w:r w:rsidR="00255828">
        <w:t>andre navn enn det vi er vant til</w:t>
      </w:r>
      <w:r>
        <w:t>?</w:t>
      </w:r>
      <w:bookmarkEnd w:id="11"/>
    </w:p>
    <w:p w14:paraId="5177AA9B" w14:textId="279BACDE" w:rsidR="00EB0618" w:rsidRDefault="00A91531" w:rsidP="00255828">
      <w:pPr>
        <w:rPr>
          <w:rFonts w:asciiTheme="majorHAnsi" w:hAnsiTheme="majorHAnsi" w:cstheme="majorHAnsi"/>
        </w:rPr>
      </w:pPr>
      <w:r w:rsidRPr="00723991">
        <w:rPr>
          <w:rFonts w:asciiTheme="majorHAnsi" w:hAnsiTheme="majorHAnsi" w:cstheme="majorHAnsi"/>
        </w:rPr>
        <w:t>I forbindelse med nytt laboratoriedatasystem har fagområdene standardisert oppbygging av analysenavn, skrivemåter og prefiks. Dette skal nå</w:t>
      </w:r>
      <w:r w:rsidR="001A493F">
        <w:rPr>
          <w:rFonts w:asciiTheme="majorHAnsi" w:hAnsiTheme="majorHAnsi" w:cstheme="majorHAnsi"/>
        </w:rPr>
        <w:t xml:space="preserve"> bli likt i hele h</w:t>
      </w:r>
      <w:r w:rsidR="001B1868" w:rsidRPr="00723991">
        <w:rPr>
          <w:rFonts w:asciiTheme="majorHAnsi" w:hAnsiTheme="majorHAnsi" w:cstheme="majorHAnsi"/>
        </w:rPr>
        <w:t>elseregionen og medfører at noen analyser har fått litt endrede navn. Navnene vil i stor grad tilsvare skrivemåten i Norsk laboratoriekodeverk, men dette er ikke gjennomgående.</w:t>
      </w:r>
      <w:r w:rsidR="00255828" w:rsidRPr="00723991">
        <w:rPr>
          <w:rFonts w:asciiTheme="majorHAnsi" w:hAnsiTheme="majorHAnsi" w:cstheme="majorHAnsi"/>
        </w:rPr>
        <w:t xml:space="preserve"> Det finnes noen prinsipielle unntak. </w:t>
      </w:r>
      <w:r w:rsidR="00311DF1" w:rsidRPr="00723991">
        <w:rPr>
          <w:rFonts w:asciiTheme="majorHAnsi" w:hAnsiTheme="majorHAnsi" w:cstheme="majorHAnsi"/>
        </w:rPr>
        <w:t xml:space="preserve">Se </w:t>
      </w:r>
      <w:r w:rsidR="00280156">
        <w:rPr>
          <w:rFonts w:asciiTheme="majorHAnsi" w:hAnsiTheme="majorHAnsi" w:cstheme="majorHAnsi"/>
        </w:rPr>
        <w:t xml:space="preserve">f.eks. </w:t>
      </w:r>
      <w:r w:rsidR="00E6353E">
        <w:rPr>
          <w:rFonts w:asciiTheme="majorHAnsi" w:hAnsiTheme="majorHAnsi" w:cstheme="majorHAnsi"/>
        </w:rPr>
        <w:t xml:space="preserve">spørsmål nr. 11 under, </w:t>
      </w:r>
      <w:r w:rsidR="006D012C">
        <w:rPr>
          <w:rFonts w:asciiTheme="majorHAnsi" w:hAnsiTheme="majorHAnsi" w:cstheme="majorHAnsi"/>
        </w:rPr>
        <w:t xml:space="preserve">om </w:t>
      </w:r>
      <w:r w:rsidR="002F311B">
        <w:rPr>
          <w:rFonts w:asciiTheme="majorHAnsi" w:hAnsiTheme="majorHAnsi" w:cstheme="majorHAnsi"/>
        </w:rPr>
        <w:t>«</w:t>
      </w:r>
      <w:r w:rsidR="006D012C">
        <w:rPr>
          <w:rFonts w:asciiTheme="majorHAnsi" w:hAnsiTheme="majorHAnsi" w:cstheme="majorHAnsi"/>
        </w:rPr>
        <w:t>PS</w:t>
      </w:r>
      <w:r w:rsidR="002F311B">
        <w:rPr>
          <w:rFonts w:asciiTheme="majorHAnsi" w:hAnsiTheme="majorHAnsi" w:cstheme="majorHAnsi"/>
        </w:rPr>
        <w:t>-»</w:t>
      </w:r>
      <w:r w:rsidR="00255828" w:rsidRPr="00723991">
        <w:rPr>
          <w:rFonts w:asciiTheme="majorHAnsi" w:hAnsiTheme="majorHAnsi" w:cstheme="majorHAnsi"/>
        </w:rPr>
        <w:t>.</w:t>
      </w:r>
    </w:p>
    <w:p w14:paraId="68839B72" w14:textId="2BC793EF" w:rsidR="00E9454B" w:rsidRPr="00723991" w:rsidRDefault="004A04D9" w:rsidP="002558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Eksempel: </w:t>
      </w:r>
      <w:r w:rsidR="00E9454B">
        <w:rPr>
          <w:rFonts w:asciiTheme="majorHAnsi" w:hAnsiTheme="majorHAnsi" w:cstheme="majorHAnsi"/>
        </w:rPr>
        <w:t xml:space="preserve">For analyser av antistoff f.eks. vil man ikke lenger benytte prefikset </w:t>
      </w:r>
      <w:r w:rsidR="002F311B">
        <w:rPr>
          <w:rFonts w:asciiTheme="majorHAnsi" w:hAnsiTheme="majorHAnsi" w:cstheme="majorHAnsi"/>
        </w:rPr>
        <w:t>«</w:t>
      </w:r>
      <w:r w:rsidR="00E9454B">
        <w:rPr>
          <w:rFonts w:asciiTheme="majorHAnsi" w:hAnsiTheme="majorHAnsi" w:cstheme="majorHAnsi"/>
        </w:rPr>
        <w:t>anti</w:t>
      </w:r>
      <w:r w:rsidR="002F311B">
        <w:rPr>
          <w:rFonts w:asciiTheme="majorHAnsi" w:hAnsiTheme="majorHAnsi" w:cstheme="majorHAnsi"/>
        </w:rPr>
        <w:t>-»</w:t>
      </w:r>
      <w:r w:rsidR="00E9454B">
        <w:rPr>
          <w:rFonts w:asciiTheme="majorHAnsi" w:hAnsiTheme="majorHAnsi" w:cstheme="majorHAnsi"/>
        </w:rPr>
        <w:t>, men a</w:t>
      </w:r>
      <w:r w:rsidR="00E9454B" w:rsidRPr="00E9454B">
        <w:rPr>
          <w:rFonts w:asciiTheme="majorHAnsi" w:hAnsiTheme="majorHAnsi" w:cstheme="majorHAnsi"/>
        </w:rPr>
        <w:t xml:space="preserve">ngi identifikatoren for substansen man måler først. </w:t>
      </w:r>
      <w:r w:rsidR="006C1C4B">
        <w:rPr>
          <w:rFonts w:asciiTheme="majorHAnsi" w:hAnsiTheme="majorHAnsi" w:cstheme="majorHAnsi"/>
        </w:rPr>
        <w:t xml:space="preserve">Eksempelvis vil det hete </w:t>
      </w:r>
      <w:r w:rsidR="006C1C4B" w:rsidRPr="006C1C4B">
        <w:rPr>
          <w:rFonts w:asciiTheme="majorHAnsi" w:hAnsiTheme="majorHAnsi" w:cstheme="majorHAnsi"/>
        </w:rPr>
        <w:t>S-TSH reseptor antistoff</w:t>
      </w:r>
      <w:r w:rsidR="00794E0A">
        <w:rPr>
          <w:rFonts w:asciiTheme="majorHAnsi" w:hAnsiTheme="majorHAnsi" w:cstheme="majorHAnsi"/>
        </w:rPr>
        <w:t xml:space="preserve"> </w:t>
      </w:r>
      <w:r w:rsidR="006C1C4B">
        <w:rPr>
          <w:rFonts w:asciiTheme="majorHAnsi" w:hAnsiTheme="majorHAnsi" w:cstheme="majorHAnsi"/>
        </w:rPr>
        <w:t xml:space="preserve">i stedet for anti-TSH reseptor, evt. vil det angis </w:t>
      </w:r>
      <w:r w:rsidR="006C1C4B" w:rsidRPr="006C1C4B">
        <w:rPr>
          <w:rFonts w:asciiTheme="majorHAnsi" w:hAnsiTheme="majorHAnsi" w:cstheme="majorHAnsi"/>
        </w:rPr>
        <w:t>spesifikk immunglobulin-klasse</w:t>
      </w:r>
      <w:r w:rsidR="006C1C4B">
        <w:rPr>
          <w:rFonts w:asciiTheme="majorHAnsi" w:hAnsiTheme="majorHAnsi" w:cstheme="majorHAnsi"/>
        </w:rPr>
        <w:t>, f.eks. IgG.</w:t>
      </w:r>
    </w:p>
    <w:p w14:paraId="010C9A6F" w14:textId="4D768852" w:rsidR="00255828" w:rsidRDefault="00255828" w:rsidP="0073491D">
      <w:pPr>
        <w:pStyle w:val="Overskrift2"/>
        <w:numPr>
          <w:ilvl w:val="0"/>
          <w:numId w:val="2"/>
        </w:numPr>
      </w:pPr>
      <w:bookmarkStart w:id="12" w:name="_Toc34228792"/>
      <w:r>
        <w:t>Hvorfor har noen analyser fått «PS-» som prefiks foran navnet</w:t>
      </w:r>
      <w:r w:rsidR="0076375D">
        <w:t xml:space="preserve"> når de besvares</w:t>
      </w:r>
      <w:r>
        <w:t>?</w:t>
      </w:r>
      <w:bookmarkEnd w:id="12"/>
    </w:p>
    <w:p w14:paraId="1F831237" w14:textId="77777777" w:rsidR="00C13082" w:rsidRDefault="00255828" w:rsidP="00BF7A28">
      <w:pPr>
        <w:rPr>
          <w:rFonts w:asciiTheme="majorHAnsi" w:hAnsiTheme="majorHAnsi" w:cstheme="majorHAnsi"/>
        </w:rPr>
      </w:pPr>
      <w:r>
        <w:t>I</w:t>
      </w:r>
      <w:r w:rsidR="009B4A4A">
        <w:rPr>
          <w:rFonts w:asciiTheme="majorHAnsi" w:hAnsiTheme="majorHAnsi" w:cstheme="majorHAnsi"/>
        </w:rPr>
        <w:t xml:space="preserve"> </w:t>
      </w:r>
      <w:r w:rsidR="001A1A12">
        <w:rPr>
          <w:rFonts w:asciiTheme="majorHAnsi" w:hAnsiTheme="majorHAnsi" w:cstheme="majorHAnsi"/>
        </w:rPr>
        <w:t>nytt navngivningssystem for analysene</w:t>
      </w:r>
      <w:r w:rsidR="009B4A4A">
        <w:rPr>
          <w:rFonts w:asciiTheme="majorHAnsi" w:hAnsiTheme="majorHAnsi" w:cstheme="majorHAnsi"/>
        </w:rPr>
        <w:t xml:space="preserve"> gjelder prinsippet om at prefiks foran analysenavnet sier hvilket prøvema</w:t>
      </w:r>
      <w:r w:rsidR="00D11015">
        <w:rPr>
          <w:rFonts w:asciiTheme="majorHAnsi" w:hAnsiTheme="majorHAnsi" w:cstheme="majorHAnsi"/>
        </w:rPr>
        <w:t>teriale som gjelder for analyseresultatet</w:t>
      </w:r>
      <w:r w:rsidR="009B4A4A">
        <w:rPr>
          <w:rFonts w:asciiTheme="majorHAnsi" w:hAnsiTheme="majorHAnsi" w:cstheme="majorHAnsi"/>
        </w:rPr>
        <w:t xml:space="preserve">. Det har vært et uttalt ønske fra rekvirenter at f.eks P-Natrium og S-Natrium kunne vises sammen (på samme linje) i </w:t>
      </w:r>
      <w:r w:rsidR="00E8182C">
        <w:rPr>
          <w:rFonts w:asciiTheme="majorHAnsi" w:hAnsiTheme="majorHAnsi" w:cstheme="majorHAnsi"/>
        </w:rPr>
        <w:t>pasientens resultattark</w:t>
      </w:r>
      <w:r w:rsidR="009B4A4A">
        <w:rPr>
          <w:rFonts w:asciiTheme="majorHAnsi" w:hAnsiTheme="majorHAnsi" w:cstheme="majorHAnsi"/>
        </w:rPr>
        <w:t xml:space="preserve">, </w:t>
      </w:r>
    </w:p>
    <w:p w14:paraId="7D936A98" w14:textId="77777777" w:rsidR="00C13082" w:rsidRDefault="00C13082" w:rsidP="00BF7A28">
      <w:pPr>
        <w:rPr>
          <w:rFonts w:asciiTheme="majorHAnsi" w:hAnsiTheme="majorHAnsi" w:cstheme="majorHAnsi"/>
        </w:rPr>
      </w:pPr>
    </w:p>
    <w:p w14:paraId="2905B582" w14:textId="025E7AA3" w:rsidR="001A1A12" w:rsidRDefault="009B4A4A" w:rsidP="00BF7A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ettersom disse er medisinsk sammenlignbare. </w:t>
      </w:r>
      <w:r w:rsidR="00986868">
        <w:rPr>
          <w:rFonts w:asciiTheme="majorHAnsi" w:hAnsiTheme="majorHAnsi" w:cstheme="majorHAnsi"/>
        </w:rPr>
        <w:t xml:space="preserve">Dette har vi nå tatt hensyn til og </w:t>
      </w:r>
      <w:r w:rsidR="001A1A12">
        <w:rPr>
          <w:rFonts w:asciiTheme="majorHAnsi" w:hAnsiTheme="majorHAnsi" w:cstheme="majorHAnsi"/>
        </w:rPr>
        <w:t>følgende system gjelder:</w:t>
      </w:r>
    </w:p>
    <w:p w14:paraId="02125FDC" w14:textId="3D75A164" w:rsidR="001A1A12" w:rsidRPr="001A1A12" w:rsidRDefault="00986868" w:rsidP="00BF7A28">
      <w:pPr>
        <w:pStyle w:val="Listeavsnitt"/>
        <w:numPr>
          <w:ilvl w:val="0"/>
          <w:numId w:val="13"/>
        </w:numPr>
        <w:rPr>
          <w:rFonts w:cstheme="majorHAnsi"/>
        </w:rPr>
      </w:pPr>
      <w:r w:rsidRPr="001A1A12">
        <w:rPr>
          <w:rFonts w:asciiTheme="majorHAnsi" w:hAnsiTheme="majorHAnsi" w:cstheme="majorHAnsi"/>
        </w:rPr>
        <w:t>Dersom en analyse gjøres i både serum og plasma i helseregionen og det er medisinsk</w:t>
      </w:r>
      <w:r w:rsidR="00D11015" w:rsidRPr="001A1A12">
        <w:rPr>
          <w:rFonts w:asciiTheme="majorHAnsi" w:hAnsiTheme="majorHAnsi" w:cstheme="majorHAnsi"/>
        </w:rPr>
        <w:t xml:space="preserve"> unødven</w:t>
      </w:r>
      <w:r w:rsidR="00D448DB" w:rsidRPr="001A1A12">
        <w:rPr>
          <w:rFonts w:asciiTheme="majorHAnsi" w:hAnsiTheme="majorHAnsi" w:cstheme="majorHAnsi"/>
        </w:rPr>
        <w:t>dig å skille mellom resultater fra</w:t>
      </w:r>
      <w:r w:rsidR="00D11015" w:rsidRPr="001A1A12">
        <w:rPr>
          <w:rFonts w:asciiTheme="majorHAnsi" w:hAnsiTheme="majorHAnsi" w:cstheme="majorHAnsi"/>
        </w:rPr>
        <w:t xml:space="preserve"> serum og plasma, så har analysen fått prefiks PS-. Det vil si at analysen kan ha prefiks PS- selv om </w:t>
      </w:r>
      <w:r w:rsidR="00E8182C">
        <w:rPr>
          <w:rFonts w:asciiTheme="majorHAnsi" w:hAnsiTheme="majorHAnsi" w:cstheme="majorHAnsi"/>
        </w:rPr>
        <w:t>laboratoriet du benytter k</w:t>
      </w:r>
      <w:r w:rsidR="00D11015" w:rsidRPr="001A1A12">
        <w:rPr>
          <w:rFonts w:asciiTheme="majorHAnsi" w:hAnsiTheme="majorHAnsi" w:cstheme="majorHAnsi"/>
        </w:rPr>
        <w:t xml:space="preserve">un </w:t>
      </w:r>
      <w:r w:rsidR="00E8182C">
        <w:rPr>
          <w:rFonts w:asciiTheme="majorHAnsi" w:hAnsiTheme="majorHAnsi" w:cstheme="majorHAnsi"/>
        </w:rPr>
        <w:t>gjør analysen i serum, dersom et annet laboratorium i regionen gjør samme analyse i plasma.</w:t>
      </w:r>
    </w:p>
    <w:p w14:paraId="7444D4F1" w14:textId="6C26096C" w:rsidR="008653A1" w:rsidRPr="00BA625C" w:rsidRDefault="00D448DB" w:rsidP="00BF7A28">
      <w:pPr>
        <w:pStyle w:val="Listeavsnitt"/>
        <w:numPr>
          <w:ilvl w:val="0"/>
          <w:numId w:val="13"/>
        </w:numPr>
        <w:rPr>
          <w:rFonts w:cstheme="majorHAnsi"/>
        </w:rPr>
      </w:pPr>
      <w:r w:rsidRPr="001A1A12">
        <w:rPr>
          <w:rFonts w:asciiTheme="majorHAnsi" w:hAnsiTheme="majorHAnsi" w:cstheme="majorHAnsi"/>
        </w:rPr>
        <w:t xml:space="preserve">Dersom analysen gjøres kun i </w:t>
      </w:r>
      <w:r w:rsidR="001A1A12">
        <w:rPr>
          <w:rFonts w:asciiTheme="majorHAnsi" w:hAnsiTheme="majorHAnsi" w:cstheme="majorHAnsi"/>
        </w:rPr>
        <w:t xml:space="preserve">enten </w:t>
      </w:r>
      <w:r w:rsidRPr="001A1A12">
        <w:rPr>
          <w:rFonts w:asciiTheme="majorHAnsi" w:hAnsiTheme="majorHAnsi" w:cstheme="majorHAnsi"/>
        </w:rPr>
        <w:t>serum eller i plasma</w:t>
      </w:r>
      <w:r w:rsidR="001A1A12">
        <w:rPr>
          <w:rFonts w:asciiTheme="majorHAnsi" w:hAnsiTheme="majorHAnsi" w:cstheme="majorHAnsi"/>
        </w:rPr>
        <w:t xml:space="preserve"> i Helse Midt-Norge</w:t>
      </w:r>
      <w:r w:rsidRPr="001A1A12">
        <w:rPr>
          <w:rFonts w:asciiTheme="majorHAnsi" w:hAnsiTheme="majorHAnsi" w:cstheme="majorHAnsi"/>
        </w:rPr>
        <w:t xml:space="preserve">, eller der det er medisinsk nødvendig å skille mellom resultater i serum og plasma, er prefiks </w:t>
      </w:r>
      <w:r w:rsidR="00E8182C">
        <w:rPr>
          <w:rFonts w:asciiTheme="majorHAnsi" w:hAnsiTheme="majorHAnsi" w:cstheme="majorHAnsi"/>
        </w:rPr>
        <w:t xml:space="preserve">satt til </w:t>
      </w:r>
      <w:r w:rsidR="001A1A12">
        <w:rPr>
          <w:rFonts w:asciiTheme="majorHAnsi" w:hAnsiTheme="majorHAnsi" w:cstheme="majorHAnsi"/>
        </w:rPr>
        <w:t xml:space="preserve">enten </w:t>
      </w:r>
      <w:r w:rsidRPr="001A1A12">
        <w:rPr>
          <w:rFonts w:asciiTheme="majorHAnsi" w:hAnsiTheme="majorHAnsi" w:cstheme="majorHAnsi"/>
        </w:rPr>
        <w:t>P- eller S-.</w:t>
      </w:r>
    </w:p>
    <w:p w14:paraId="675CCF74" w14:textId="7AC307FA" w:rsidR="00BA625C" w:rsidRPr="00BA625C" w:rsidRDefault="00BA625C" w:rsidP="00BA625C">
      <w:pPr>
        <w:rPr>
          <w:rFonts w:cstheme="majorHAnsi"/>
        </w:rPr>
      </w:pPr>
      <w:r>
        <w:rPr>
          <w:rFonts w:asciiTheme="majorHAnsi" w:hAnsiTheme="majorHAnsi" w:cstheme="majorHAnsi"/>
        </w:rPr>
        <w:t xml:space="preserve">Dette gjelder kun analyser som </w:t>
      </w:r>
      <w:r w:rsidR="001A5910">
        <w:rPr>
          <w:rFonts w:asciiTheme="majorHAnsi" w:hAnsiTheme="majorHAnsi" w:cstheme="majorHAnsi"/>
        </w:rPr>
        <w:t xml:space="preserve">svares ut </w:t>
      </w:r>
      <w:r>
        <w:rPr>
          <w:rFonts w:asciiTheme="majorHAnsi" w:hAnsiTheme="majorHAnsi" w:cstheme="majorHAnsi"/>
        </w:rPr>
        <w:t xml:space="preserve">med </w:t>
      </w:r>
      <w:r w:rsidR="001A5910">
        <w:rPr>
          <w:rFonts w:asciiTheme="majorHAnsi" w:hAnsiTheme="majorHAnsi" w:cstheme="majorHAnsi"/>
        </w:rPr>
        <w:t xml:space="preserve">våre </w:t>
      </w:r>
      <w:r>
        <w:rPr>
          <w:rFonts w:asciiTheme="majorHAnsi" w:hAnsiTheme="majorHAnsi" w:cstheme="majorHAnsi"/>
        </w:rPr>
        <w:t>lokal</w:t>
      </w:r>
      <w:r w:rsidR="001A5910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analysenavn. Ders</w:t>
      </w:r>
      <w:r w:rsidR="000A5489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m analysen rapporteres ut med NLK-kode, vil prefikset settes til «P-»</w:t>
      </w:r>
      <w:r w:rsidR="000A5489">
        <w:rPr>
          <w:rFonts w:asciiTheme="majorHAnsi" w:hAnsiTheme="majorHAnsi" w:cstheme="majorHAnsi"/>
        </w:rPr>
        <w:t xml:space="preserve">, for både serum og plasma, i henhold til NLKs </w:t>
      </w:r>
      <w:r w:rsidR="001A5910">
        <w:rPr>
          <w:rFonts w:asciiTheme="majorHAnsi" w:hAnsiTheme="majorHAnsi" w:cstheme="majorHAnsi"/>
        </w:rPr>
        <w:t>navne</w:t>
      </w:r>
      <w:r w:rsidR="000A5489">
        <w:rPr>
          <w:rFonts w:asciiTheme="majorHAnsi" w:hAnsiTheme="majorHAnsi" w:cstheme="majorHAnsi"/>
        </w:rPr>
        <w:t>konvensjoner.</w:t>
      </w:r>
    </w:p>
    <w:p w14:paraId="542F8E81" w14:textId="2293B8DE" w:rsidR="00EE6A47" w:rsidRDefault="00EE6A47" w:rsidP="0073491D">
      <w:pPr>
        <w:pStyle w:val="Overskrift2"/>
        <w:numPr>
          <w:ilvl w:val="0"/>
          <w:numId w:val="2"/>
        </w:numPr>
      </w:pPr>
      <w:bookmarkStart w:id="13" w:name="_Toc34228793"/>
      <w:r>
        <w:t>Hvorfor står det «X-» foran mange av analysenavnene?</w:t>
      </w:r>
      <w:bookmarkEnd w:id="13"/>
    </w:p>
    <w:p w14:paraId="7E9FBB4C" w14:textId="3BCD4B6F" w:rsidR="00E3583A" w:rsidRDefault="00D8557D" w:rsidP="00BF7A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 har forsøkt å være konsekvente i navngivningen av </w:t>
      </w:r>
      <w:r w:rsidR="00324A69">
        <w:rPr>
          <w:rFonts w:asciiTheme="majorHAnsi" w:hAnsiTheme="majorHAnsi" w:cstheme="majorHAnsi"/>
        </w:rPr>
        <w:t xml:space="preserve">alle </w:t>
      </w:r>
      <w:r>
        <w:rPr>
          <w:rFonts w:asciiTheme="majorHAnsi" w:hAnsiTheme="majorHAnsi" w:cstheme="majorHAnsi"/>
        </w:rPr>
        <w:t>analyse</w:t>
      </w:r>
      <w:r w:rsidR="00324A69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, slik at alle </w:t>
      </w:r>
      <w:r w:rsidR="00324A69">
        <w:rPr>
          <w:rFonts w:asciiTheme="majorHAnsi" w:hAnsiTheme="majorHAnsi" w:cstheme="majorHAnsi"/>
        </w:rPr>
        <w:t xml:space="preserve">navnene begynner med </w:t>
      </w:r>
      <w:r>
        <w:rPr>
          <w:rFonts w:asciiTheme="majorHAnsi" w:hAnsiTheme="majorHAnsi" w:cstheme="majorHAnsi"/>
        </w:rPr>
        <w:t xml:space="preserve">et prefiks som angir hvilket prøvemateriale analysen er utført i. Noen ganger vil imidlertid prøvematerialet være spesifisert et annet sted på svarrapporten, eller det kan være </w:t>
      </w:r>
      <w:r w:rsidR="00E3583A">
        <w:rPr>
          <w:rFonts w:asciiTheme="majorHAnsi" w:hAnsiTheme="majorHAnsi" w:cstheme="majorHAnsi"/>
        </w:rPr>
        <w:t xml:space="preserve">to eller flere prøvematerialer som danner grunnlag for </w:t>
      </w:r>
      <w:r w:rsidR="00324A69">
        <w:rPr>
          <w:rFonts w:asciiTheme="majorHAnsi" w:hAnsiTheme="majorHAnsi" w:cstheme="majorHAnsi"/>
        </w:rPr>
        <w:t>komponenten</w:t>
      </w:r>
      <w:r w:rsidR="00E3583A">
        <w:rPr>
          <w:rFonts w:asciiTheme="majorHAnsi" w:hAnsiTheme="majorHAnsi" w:cstheme="majorHAnsi"/>
        </w:rPr>
        <w:t xml:space="preserve">, eller prøvematerialet kan være uspesifisert/ikke relevant. I eksempelet under </w:t>
      </w:r>
      <w:r w:rsidR="00791983">
        <w:rPr>
          <w:rFonts w:asciiTheme="majorHAnsi" w:hAnsiTheme="majorHAnsi" w:cstheme="majorHAnsi"/>
        </w:rPr>
        <w:t xml:space="preserve">ser vi </w:t>
      </w:r>
      <w:r w:rsidR="00324A69">
        <w:rPr>
          <w:rFonts w:asciiTheme="majorHAnsi" w:hAnsiTheme="majorHAnsi" w:cstheme="majorHAnsi"/>
        </w:rPr>
        <w:t>for eksempel en svarkomponent som angir hvilken døgndose pasienten bruker av et legemiddel.</w:t>
      </w:r>
      <w:r w:rsidR="00791983">
        <w:rPr>
          <w:rFonts w:asciiTheme="majorHAnsi" w:hAnsiTheme="majorHAnsi" w:cstheme="majorHAnsi"/>
        </w:rPr>
        <w:t xml:space="preserve"> Denne komponenten har ikke noe prøvemateriale, og har derfor fått prefikset «X-». Dette prefikset tilsvarer Norsk laboratoriekodeverks prefiks «Us-», altså uspesifisert.</w:t>
      </w:r>
      <w:r w:rsidR="0073491D">
        <w:rPr>
          <w:rFonts w:asciiTheme="majorHAnsi" w:hAnsiTheme="majorHAnsi" w:cstheme="majorHAnsi"/>
        </w:rPr>
        <w:t xml:space="preserve"> For analyser vi rapporterer ut med NLK-koder, vil det stå «Us-»</w:t>
      </w:r>
      <w:r w:rsidR="00866BE1">
        <w:rPr>
          <w:rFonts w:asciiTheme="majorHAnsi" w:hAnsiTheme="majorHAnsi" w:cstheme="majorHAnsi"/>
        </w:rPr>
        <w:t xml:space="preserve">. Prefiksene «X-» og «Us-» betyr </w:t>
      </w:r>
      <w:r w:rsidR="006A4AA4">
        <w:rPr>
          <w:rFonts w:asciiTheme="majorHAnsi" w:hAnsiTheme="majorHAnsi" w:cstheme="majorHAnsi"/>
        </w:rPr>
        <w:t xml:space="preserve">altså </w:t>
      </w:r>
      <w:r w:rsidR="00866BE1">
        <w:rPr>
          <w:rFonts w:asciiTheme="majorHAnsi" w:hAnsiTheme="majorHAnsi" w:cstheme="majorHAnsi"/>
        </w:rPr>
        <w:t>det samme</w:t>
      </w:r>
      <w:r w:rsidR="006A4AA4">
        <w:rPr>
          <w:rFonts w:asciiTheme="majorHAnsi" w:hAnsiTheme="majorHAnsi" w:cstheme="majorHAnsi"/>
        </w:rPr>
        <w:t>.</w:t>
      </w:r>
    </w:p>
    <w:p w14:paraId="496E4F6D" w14:textId="4EC1DF48" w:rsidR="00EE6A47" w:rsidRPr="00BF7A28" w:rsidRDefault="00E3583A" w:rsidP="00BF7A28">
      <w:pPr>
        <w:rPr>
          <w:rFonts w:cstheme="majorHAnsi"/>
        </w:rPr>
      </w:pPr>
      <w:r>
        <w:rPr>
          <w:rFonts w:asciiTheme="majorHAnsi" w:hAnsiTheme="majorHAnsi" w:cstheme="majorHAnsi"/>
        </w:rPr>
        <w:t xml:space="preserve"> </w:t>
      </w:r>
      <w:r w:rsidR="00EE6A47">
        <w:rPr>
          <w:noProof/>
          <w:lang w:eastAsia="nb-NO"/>
        </w:rPr>
        <w:drawing>
          <wp:inline distT="0" distB="0" distL="0" distR="0" wp14:anchorId="580074B9" wp14:editId="248AB6E6">
            <wp:extent cx="2343150" cy="1148258"/>
            <wp:effectExtent l="190500" t="190500" r="190500" b="1854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6549"/>
                    <a:stretch/>
                  </pic:blipFill>
                  <pic:spPr bwMode="auto">
                    <a:xfrm>
                      <a:off x="0" y="0"/>
                      <a:ext cx="2343150" cy="11482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2FDF4" w14:textId="641E6E8E" w:rsidR="00F61AED" w:rsidRDefault="00F61AED" w:rsidP="0073491D">
      <w:pPr>
        <w:pStyle w:val="Overskrift2"/>
        <w:numPr>
          <w:ilvl w:val="0"/>
          <w:numId w:val="2"/>
        </w:numPr>
      </w:pPr>
      <w:bookmarkStart w:id="14" w:name="_Toc34228794"/>
      <w:r>
        <w:t>Hvorfor er analysen</w:t>
      </w:r>
      <w:r w:rsidR="00B65B69">
        <w:t>e</w:t>
      </w:r>
      <w:r>
        <w:t xml:space="preserve"> sortert på en ulogisk måte</w:t>
      </w:r>
      <w:r w:rsidR="00A76E23">
        <w:t>?</w:t>
      </w:r>
      <w:bookmarkEnd w:id="14"/>
    </w:p>
    <w:p w14:paraId="55739679" w14:textId="1EC61B97" w:rsidR="00941623" w:rsidRPr="00941623" w:rsidRDefault="003B5426" w:rsidP="00941623">
      <w:r>
        <w:rPr>
          <w:rFonts w:asciiTheme="majorHAnsi" w:hAnsiTheme="majorHAnsi" w:cstheme="majorHAnsi"/>
        </w:rPr>
        <w:t>Sortering av analysesvar i logisk rekkefølge må gjøres i mottakeres</w:t>
      </w:r>
      <w:r w:rsidR="00055076">
        <w:rPr>
          <w:rFonts w:asciiTheme="majorHAnsi" w:hAnsiTheme="majorHAnsi" w:cstheme="majorHAnsi"/>
        </w:rPr>
        <w:t xml:space="preserve"> journalsystem. Siden mange av våre analyser nå har skiftet navn og koder, kan det hende at ditt journalsystem ikke kjenner igjen den enkelte analysen, og den havner derfor i en «usortert»-kategori. Ny sortering må der</w:t>
      </w:r>
      <w:r w:rsidR="00894648">
        <w:rPr>
          <w:rFonts w:asciiTheme="majorHAnsi" w:hAnsiTheme="majorHAnsi" w:cstheme="majorHAnsi"/>
        </w:rPr>
        <w:t>for gjøres av EPJ-brukerne</w:t>
      </w:r>
      <w:r w:rsidR="00055076">
        <w:rPr>
          <w:rFonts w:asciiTheme="majorHAnsi" w:hAnsiTheme="majorHAnsi" w:cstheme="majorHAnsi"/>
        </w:rPr>
        <w:t xml:space="preserve"> </w:t>
      </w:r>
      <w:r w:rsidR="00894648">
        <w:rPr>
          <w:rFonts w:asciiTheme="majorHAnsi" w:hAnsiTheme="majorHAnsi" w:cstheme="majorHAnsi"/>
        </w:rPr>
        <w:t xml:space="preserve">evt </w:t>
      </w:r>
      <w:r w:rsidR="00055076">
        <w:rPr>
          <w:rFonts w:asciiTheme="majorHAnsi" w:hAnsiTheme="majorHAnsi" w:cstheme="majorHAnsi"/>
        </w:rPr>
        <w:t>i samarbeid med EPJ-leverandør.</w:t>
      </w:r>
      <w:r w:rsidR="00894648">
        <w:rPr>
          <w:rFonts w:asciiTheme="majorHAnsi" w:hAnsiTheme="majorHAnsi" w:cstheme="majorHAnsi"/>
        </w:rPr>
        <w:t xml:space="preserve"> Vårt servicetorg kan være behjelpelige med en liste med foreslått sortering av svarkomponentene, dersom dette er ønskelig.</w:t>
      </w:r>
      <w:r w:rsidR="00055076">
        <w:rPr>
          <w:rFonts w:asciiTheme="majorHAnsi" w:hAnsiTheme="majorHAnsi" w:cstheme="majorHAnsi"/>
        </w:rPr>
        <w:t xml:space="preserve"> </w:t>
      </w:r>
    </w:p>
    <w:p w14:paraId="1457B8DE" w14:textId="057A07EC" w:rsidR="00476725" w:rsidRDefault="00476725" w:rsidP="0073491D">
      <w:pPr>
        <w:pStyle w:val="Overskrift3"/>
        <w:numPr>
          <w:ilvl w:val="0"/>
          <w:numId w:val="2"/>
        </w:numPr>
      </w:pPr>
      <w:bookmarkStart w:id="15" w:name="_Toc34228795"/>
      <w:r>
        <w:rPr>
          <w:rStyle w:val="Overskrift2Tegn"/>
        </w:rPr>
        <w:t>Hvorfor ser papirsvarrapporten annerledes ut enn før?</w:t>
      </w:r>
      <w:bookmarkEnd w:id="15"/>
    </w:p>
    <w:p w14:paraId="45BDC2FA" w14:textId="1B6D4FF2" w:rsidR="00476725" w:rsidRDefault="00BA5BB9" w:rsidP="002A557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forbindelse med overgang til nytt laboratoriedatasystem har vi skiftet mal for papir-svarrapportene våre. Den nye malen er vil være felles for alle laboratoriene i Helse Midt-Norge.</w:t>
      </w:r>
    </w:p>
    <w:p w14:paraId="4BA0B1BB" w14:textId="39116380" w:rsidR="00C13082" w:rsidRDefault="00C13082" w:rsidP="002A5571">
      <w:pPr>
        <w:rPr>
          <w:rFonts w:asciiTheme="majorHAnsi" w:hAnsiTheme="majorHAnsi" w:cstheme="majorHAnsi"/>
        </w:rPr>
      </w:pPr>
    </w:p>
    <w:p w14:paraId="6B22F85E" w14:textId="77777777" w:rsidR="00C13082" w:rsidRDefault="00C13082" w:rsidP="002A5571">
      <w:pPr>
        <w:rPr>
          <w:rFonts w:asciiTheme="majorHAnsi" w:hAnsiTheme="majorHAnsi" w:cstheme="majorHAnsi"/>
        </w:rPr>
      </w:pPr>
    </w:p>
    <w:p w14:paraId="0B9A3FB0" w14:textId="02987E42" w:rsidR="000D2454" w:rsidRDefault="000D2454" w:rsidP="0073491D">
      <w:pPr>
        <w:pStyle w:val="Overskrift3"/>
        <w:numPr>
          <w:ilvl w:val="0"/>
          <w:numId w:val="2"/>
        </w:numPr>
      </w:pPr>
      <w:bookmarkStart w:id="16" w:name="_Toc34228796"/>
      <w:r>
        <w:rPr>
          <w:rStyle w:val="Overskrift2Tegn"/>
        </w:rPr>
        <w:t>Hvorfor står det «utførende lab</w:t>
      </w:r>
      <w:r w:rsidR="008C4E7F">
        <w:rPr>
          <w:rStyle w:val="Overskrift2Tegn"/>
        </w:rPr>
        <w:t>oratorium</w:t>
      </w:r>
      <w:r>
        <w:rPr>
          <w:rStyle w:val="Overskrift2Tegn"/>
        </w:rPr>
        <w:t>» flere steder på papirsvarrapporten?</w:t>
      </w:r>
      <w:bookmarkEnd w:id="16"/>
    </w:p>
    <w:p w14:paraId="378A09D2" w14:textId="1554AF20" w:rsidR="000D2454" w:rsidRDefault="008C4E7F" w:rsidP="000D245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Siden flere laboratorier kan bidra med analysesvar til samme svarrapport, og det er viktig å kunne spore hvem som har gjort hva, vil det stå en fotnote under analysene, med den forkortelse for utførende laboratorium. I bildet under står det «AKF-TF». Lenger ned på siden kan man lese </w:t>
      </w:r>
      <w:r w:rsidR="001447C9">
        <w:rPr>
          <w:rFonts w:asciiTheme="majorHAnsi" w:hAnsiTheme="majorHAnsi" w:cstheme="majorHAnsi"/>
        </w:rPr>
        <w:t>hva denne forkortelsen står for, og eventuell kontaktinformasjon.</w:t>
      </w:r>
    </w:p>
    <w:p w14:paraId="6D2FCA8F" w14:textId="5D7AC609" w:rsidR="000D2454" w:rsidRDefault="000D2454" w:rsidP="000D2454">
      <w:pPr>
        <w:rPr>
          <w:rFonts w:asciiTheme="majorHAnsi" w:hAnsiTheme="majorHAnsi" w:cstheme="majorHAnsi"/>
        </w:rPr>
      </w:pPr>
    </w:p>
    <w:p w14:paraId="4A0C2B4C" w14:textId="157A663F" w:rsidR="000D2454" w:rsidRDefault="000D2454" w:rsidP="000D2454">
      <w:pPr>
        <w:rPr>
          <w:rFonts w:asciiTheme="majorHAnsi" w:hAnsiTheme="majorHAnsi" w:cstheme="majorHAnsi"/>
        </w:rPr>
      </w:pPr>
      <w:r>
        <w:rPr>
          <w:noProof/>
          <w:lang w:eastAsia="nb-NO"/>
        </w:rPr>
        <w:drawing>
          <wp:inline distT="0" distB="0" distL="0" distR="0" wp14:anchorId="13B14B8B" wp14:editId="6299B739">
            <wp:extent cx="5760720" cy="5108575"/>
            <wp:effectExtent l="190500" t="190500" r="182880" b="1873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08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3B23C4" w14:textId="227722E0" w:rsidR="00461F8E" w:rsidRDefault="00461F8E" w:rsidP="00461F8E">
      <w:pPr>
        <w:pStyle w:val="Overskrift3"/>
        <w:numPr>
          <w:ilvl w:val="0"/>
          <w:numId w:val="2"/>
        </w:numPr>
      </w:pPr>
      <w:bookmarkStart w:id="17" w:name="_Toc34228797"/>
      <w:r>
        <w:rPr>
          <w:rStyle w:val="Overskrift2Tegn"/>
        </w:rPr>
        <w:t>Hvorfor står det K1, K2 og K3 på papirsvarrapporten?</w:t>
      </w:r>
      <w:bookmarkEnd w:id="17"/>
    </w:p>
    <w:p w14:paraId="2993CE8D" w14:textId="65D936D6" w:rsidR="001447C9" w:rsidRDefault="00461F8E" w:rsidP="00461F8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«K» står for kommentar. </w:t>
      </w:r>
      <w:r w:rsidR="001F2F19">
        <w:rPr>
          <w:rFonts w:asciiTheme="majorHAnsi" w:hAnsiTheme="majorHAnsi" w:cstheme="majorHAnsi"/>
        </w:rPr>
        <w:t>Disse fungerer som fotnoter for kommentarer: «K1» viser til kommentar 1, «K2» viser til kommentar 2 osv. Vi har samlet analysekommentarene nedenfor selve prøvesvarene for å gjøre det letter</w:t>
      </w:r>
      <w:r w:rsidR="00716906">
        <w:rPr>
          <w:rFonts w:asciiTheme="majorHAnsi" w:hAnsiTheme="majorHAnsi" w:cstheme="majorHAnsi"/>
        </w:rPr>
        <w:t>e å få oversikt over alle prøvesvarene samlet i tabellen.</w:t>
      </w:r>
    </w:p>
    <w:p w14:paraId="3BA0B864" w14:textId="768D3D85" w:rsidR="00461F8E" w:rsidRDefault="00461F8E" w:rsidP="00461F8E">
      <w:pPr>
        <w:rPr>
          <w:rFonts w:asciiTheme="majorHAnsi" w:hAnsiTheme="majorHAnsi" w:cstheme="majorHAnsi"/>
        </w:rPr>
      </w:pPr>
    </w:p>
    <w:p w14:paraId="237E1D84" w14:textId="0FA84D6E" w:rsidR="00461F8E" w:rsidRDefault="00461F8E" w:rsidP="00461F8E">
      <w:pPr>
        <w:rPr>
          <w:rFonts w:asciiTheme="majorHAnsi" w:hAnsiTheme="majorHAnsi" w:cstheme="majorHAnsi"/>
        </w:rPr>
      </w:pPr>
      <w:r>
        <w:rPr>
          <w:noProof/>
          <w:lang w:eastAsia="nb-NO"/>
        </w:rPr>
        <w:lastRenderedPageBreak/>
        <w:drawing>
          <wp:inline distT="0" distB="0" distL="0" distR="0" wp14:anchorId="44169906" wp14:editId="27B0686C">
            <wp:extent cx="5760720" cy="5129530"/>
            <wp:effectExtent l="152400" t="152400" r="354330" b="35687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29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F5712A" w14:textId="77777777" w:rsidR="00CB54F6" w:rsidRPr="00CB54F6" w:rsidRDefault="00CB54F6" w:rsidP="00CB54F6">
      <w:pPr>
        <w:pStyle w:val="Overskrift3"/>
        <w:numPr>
          <w:ilvl w:val="0"/>
          <w:numId w:val="2"/>
        </w:numPr>
        <w:rPr>
          <w:rStyle w:val="Overskrift2Tegn"/>
          <w:rFonts w:cstheme="majorHAnsi"/>
          <w:color w:val="1F4D78" w:themeColor="accent1" w:themeShade="7F"/>
          <w:sz w:val="24"/>
          <w:szCs w:val="24"/>
        </w:rPr>
      </w:pPr>
      <w:bookmarkStart w:id="18" w:name="_Toc34228798"/>
      <w:r>
        <w:rPr>
          <w:rStyle w:val="Overskrift2Tegn"/>
        </w:rPr>
        <w:t>Hvorfor er det nye benevninger på rusmiddelanalyser i urin?</w:t>
      </w:r>
      <w:bookmarkEnd w:id="18"/>
    </w:p>
    <w:p w14:paraId="00B677A0" w14:textId="3A28EC04" w:rsidR="007B7E1E" w:rsidRDefault="00176CB4" w:rsidP="00461F8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Avdeling for klinisk farmakologi har inntil nå rapportert ut rusmiddelfunn i urin med absoluttkonsentrasjoner, for eksempel har </w:t>
      </w:r>
      <w:r w:rsidR="004D4949">
        <w:rPr>
          <w:rFonts w:asciiTheme="majorHAnsi" w:hAnsiTheme="majorHAnsi" w:cstheme="majorHAnsi"/>
        </w:rPr>
        <w:t>«</w:t>
      </w:r>
      <w:r>
        <w:rPr>
          <w:rFonts w:asciiTheme="majorHAnsi" w:hAnsiTheme="majorHAnsi" w:cstheme="majorHAnsi"/>
        </w:rPr>
        <w:t>U-</w:t>
      </w:r>
      <w:r w:rsidR="004D4949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mfetamin</w:t>
      </w:r>
      <w:r w:rsidR="004D4949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 xml:space="preserve"> vært besvart med en tallverdi og benevningen «ng/mL». </w:t>
      </w:r>
      <w:r w:rsidR="007B7E1E">
        <w:rPr>
          <w:rFonts w:asciiTheme="majorHAnsi" w:hAnsiTheme="majorHAnsi" w:cstheme="majorHAnsi"/>
        </w:rPr>
        <w:t>Det er imidle</w:t>
      </w:r>
      <w:r w:rsidR="00D715D2">
        <w:rPr>
          <w:rFonts w:asciiTheme="majorHAnsi" w:hAnsiTheme="majorHAnsi" w:cstheme="majorHAnsi"/>
        </w:rPr>
        <w:t xml:space="preserve">rtid slik at konsentrasjonen av rusmidler av urin påvirkes av hvor konsentrert selve urinen er (se </w:t>
      </w:r>
      <w:r w:rsidR="004D4949">
        <w:rPr>
          <w:rFonts w:asciiTheme="majorHAnsi" w:hAnsiTheme="majorHAnsi" w:cstheme="majorHAnsi"/>
        </w:rPr>
        <w:t xml:space="preserve">mer om dette i </w:t>
      </w:r>
      <w:r w:rsidR="00D715D2">
        <w:rPr>
          <w:rFonts w:asciiTheme="majorHAnsi" w:hAnsiTheme="majorHAnsi" w:cstheme="majorHAnsi"/>
        </w:rPr>
        <w:t xml:space="preserve">informasjonsvideoen: </w:t>
      </w:r>
      <w:hyperlink r:id="rId16" w:history="1">
        <w:r w:rsidR="00D715D2">
          <w:rPr>
            <w:rStyle w:val="Hyperkobling"/>
          </w:rPr>
          <w:t>https://www.youtube.com/watch?v=SIGrOARWQo4</w:t>
        </w:r>
      </w:hyperlink>
      <w:r w:rsidR="00D715D2">
        <w:t xml:space="preserve">). </w:t>
      </w:r>
      <w:r w:rsidR="00D715D2">
        <w:rPr>
          <w:rFonts w:asciiTheme="majorHAnsi" w:hAnsiTheme="majorHAnsi" w:cstheme="majorHAnsi"/>
        </w:rPr>
        <w:t xml:space="preserve">Avdeling for klinisk farmakologi ved St Olavs hospital går derfor </w:t>
      </w:r>
      <w:r w:rsidR="004D4949">
        <w:rPr>
          <w:rFonts w:asciiTheme="majorHAnsi" w:hAnsiTheme="majorHAnsi" w:cstheme="majorHAnsi"/>
        </w:rPr>
        <w:t xml:space="preserve">fra 7.mars </w:t>
      </w:r>
      <w:r w:rsidR="00D715D2">
        <w:rPr>
          <w:rFonts w:asciiTheme="majorHAnsi" w:hAnsiTheme="majorHAnsi" w:cstheme="majorHAnsi"/>
        </w:rPr>
        <w:t>over til å rapportere ut rusmiddelfunn i urin som følger</w:t>
      </w:r>
      <w:r w:rsidR="00D32C2C">
        <w:rPr>
          <w:rFonts w:asciiTheme="majorHAnsi" w:hAnsiTheme="majorHAnsi" w:cstheme="majorHAnsi"/>
        </w:rPr>
        <w:t xml:space="preserve"> (Se bilde under)</w:t>
      </w:r>
      <w:r w:rsidR="00D715D2">
        <w:rPr>
          <w:rFonts w:asciiTheme="majorHAnsi" w:hAnsiTheme="majorHAnsi" w:cstheme="majorHAnsi"/>
        </w:rPr>
        <w:t>:</w:t>
      </w:r>
    </w:p>
    <w:p w14:paraId="2DCB0385" w14:textId="5B7BF3A7" w:rsidR="00D715D2" w:rsidRDefault="00D715D2" w:rsidP="00D715D2">
      <w:pPr>
        <w:pStyle w:val="Listeavsnitt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Alle rusmidler som det er testet for besvares </w:t>
      </w:r>
      <w:r w:rsidR="004D4949">
        <w:rPr>
          <w:rFonts w:asciiTheme="majorHAnsi" w:hAnsiTheme="majorHAnsi" w:cstheme="majorHAnsi"/>
        </w:rPr>
        <w:t xml:space="preserve">alltid enkeltvis </w:t>
      </w:r>
      <w:r>
        <w:rPr>
          <w:rFonts w:asciiTheme="majorHAnsi" w:hAnsiTheme="majorHAnsi" w:cstheme="majorHAnsi"/>
        </w:rPr>
        <w:t>med «Påvist</w:t>
      </w:r>
      <w:r w:rsidR="004D4949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 xml:space="preserve"> eller </w:t>
      </w:r>
      <w:r w:rsidR="004D4949">
        <w:rPr>
          <w:rFonts w:asciiTheme="majorHAnsi" w:hAnsiTheme="majorHAnsi" w:cstheme="majorHAnsi"/>
        </w:rPr>
        <w:t>«I</w:t>
      </w:r>
      <w:r>
        <w:rPr>
          <w:rFonts w:asciiTheme="majorHAnsi" w:hAnsiTheme="majorHAnsi" w:cstheme="majorHAnsi"/>
        </w:rPr>
        <w:t>kke påvist». Dette svaret kommer som et eget kvalitativt svar, på en egen linje i svarrapporten.</w:t>
      </w:r>
    </w:p>
    <w:p w14:paraId="7026CB6C" w14:textId="77777777" w:rsidR="00C13082" w:rsidRDefault="00D715D2" w:rsidP="00D715D2">
      <w:pPr>
        <w:pStyle w:val="Listeavsnitt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Dersom et rusmiddel er påvist, eller dersom det nylig har vært påvist hos denne prøvegiveren, blir det også rapportert ut </w:t>
      </w:r>
      <w:r w:rsidR="00E364C5">
        <w:rPr>
          <w:rFonts w:asciiTheme="majorHAnsi" w:hAnsiTheme="majorHAnsi" w:cstheme="majorHAnsi"/>
        </w:rPr>
        <w:t>et svar til som heter «[rusmiddel]/kreatinin», for eksemep</w:t>
      </w:r>
      <w:r w:rsidR="00D32C2C">
        <w:rPr>
          <w:rFonts w:asciiTheme="majorHAnsi" w:hAnsiTheme="majorHAnsi" w:cstheme="majorHAnsi"/>
        </w:rPr>
        <w:t>e</w:t>
      </w:r>
      <w:r w:rsidR="00E364C5">
        <w:rPr>
          <w:rFonts w:asciiTheme="majorHAnsi" w:hAnsiTheme="majorHAnsi" w:cstheme="majorHAnsi"/>
        </w:rPr>
        <w:t>l «</w:t>
      </w:r>
      <w:r w:rsidR="00D32C2C">
        <w:rPr>
          <w:rFonts w:asciiTheme="majorHAnsi" w:hAnsiTheme="majorHAnsi" w:cstheme="majorHAnsi"/>
        </w:rPr>
        <w:t>Pregabalin</w:t>
      </w:r>
      <w:r w:rsidR="00E364C5">
        <w:rPr>
          <w:rFonts w:asciiTheme="majorHAnsi" w:hAnsiTheme="majorHAnsi" w:cstheme="majorHAnsi"/>
        </w:rPr>
        <w:t xml:space="preserve">/kreatinin», og som typisk har benevning mg/mol, det vil si mg rusmiddel per mol kreatinin i urin. </w:t>
      </w:r>
      <w:r w:rsidR="00AD26E6">
        <w:rPr>
          <w:rFonts w:asciiTheme="majorHAnsi" w:hAnsiTheme="majorHAnsi" w:cstheme="majorHAnsi"/>
        </w:rPr>
        <w:t xml:space="preserve">Denne verdien er beregnet ved å ta den absolutte konsentrasjonen av rusmiddel i urin (den verdien som tidligere ble rapportert ut), delt på kreatininkonsentrasjonen i samme prøve. Kreatininjusterte konsentrasjoner som vi nå </w:t>
      </w:r>
    </w:p>
    <w:p w14:paraId="7AE1D984" w14:textId="07C8CD07" w:rsidR="00D715D2" w:rsidRPr="00C13082" w:rsidRDefault="00705C60" w:rsidP="00C13082">
      <w:pPr>
        <w:pStyle w:val="Listeavsnit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br/>
      </w:r>
      <w:r w:rsidR="00AD26E6" w:rsidRPr="00C13082">
        <w:rPr>
          <w:rFonts w:asciiTheme="majorHAnsi" w:hAnsiTheme="majorHAnsi" w:cstheme="majorHAnsi"/>
        </w:rPr>
        <w:t>rapporterer ut er bedre egnet til å kunne vurdere om det foreligger nytt inntak eller ikke sammenlignet med tidligere prøver.</w:t>
      </w:r>
    </w:p>
    <w:p w14:paraId="490B2159" w14:textId="69AA1F09" w:rsidR="00E364C5" w:rsidRPr="00E364C5" w:rsidRDefault="00E364C5" w:rsidP="00E364C5">
      <w:pPr>
        <w:rPr>
          <w:rFonts w:asciiTheme="majorHAnsi" w:hAnsiTheme="majorHAnsi" w:cstheme="majorHAnsi"/>
        </w:rPr>
      </w:pPr>
      <w:r>
        <w:rPr>
          <w:noProof/>
          <w:lang w:eastAsia="nb-NO"/>
        </w:rPr>
        <w:drawing>
          <wp:inline distT="0" distB="0" distL="0" distR="0" wp14:anchorId="3E758FE2" wp14:editId="45B0861D">
            <wp:extent cx="5760720" cy="3026410"/>
            <wp:effectExtent l="152400" t="152400" r="354330" b="36449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6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6FEB2A" w14:textId="4595A551" w:rsidR="00D32C2C" w:rsidRPr="00AD26E6" w:rsidRDefault="0051208E" w:rsidP="00D32C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Merk: Som følge</w:t>
      </w:r>
      <w:r w:rsidR="00D32C2C">
        <w:rPr>
          <w:rFonts w:asciiTheme="majorHAnsi" w:hAnsiTheme="majorHAnsi" w:cstheme="majorHAnsi"/>
        </w:rPr>
        <w:t xml:space="preserve"> av kulepunkt 2 over så kan kreatininjusterte konsentrasjoner noen ganger </w:t>
      </w:r>
      <w:r>
        <w:rPr>
          <w:rFonts w:asciiTheme="majorHAnsi" w:hAnsiTheme="majorHAnsi" w:cstheme="majorHAnsi"/>
        </w:rPr>
        <w:t>svares</w:t>
      </w:r>
      <w:r w:rsidR="00D32C2C">
        <w:rPr>
          <w:rFonts w:asciiTheme="majorHAnsi" w:hAnsiTheme="majorHAnsi" w:cstheme="majorHAnsi"/>
        </w:rPr>
        <w:t xml:space="preserve"> ut selv om rusmiddel ikke er påvist i aktuelle prøve, men fordi rusmiddelet har vært påvist for kort tid siden. I disse tilfellene vil </w:t>
      </w:r>
      <w:r>
        <w:rPr>
          <w:rFonts w:asciiTheme="majorHAnsi" w:hAnsiTheme="majorHAnsi" w:cstheme="majorHAnsi"/>
        </w:rPr>
        <w:t>for eksempel «U-P</w:t>
      </w:r>
      <w:r w:rsidR="00C90970">
        <w:rPr>
          <w:rFonts w:asciiTheme="majorHAnsi" w:hAnsiTheme="majorHAnsi" w:cstheme="majorHAnsi"/>
        </w:rPr>
        <w:t xml:space="preserve">regabalin» besvares med «Ikke påvist», mens den </w:t>
      </w:r>
      <w:r w:rsidR="00D32C2C">
        <w:rPr>
          <w:rFonts w:asciiTheme="majorHAnsi" w:hAnsiTheme="majorHAnsi" w:cstheme="majorHAnsi"/>
        </w:rPr>
        <w:t>kreatininjusterte konsent</w:t>
      </w:r>
      <w:r w:rsidR="00C90970">
        <w:rPr>
          <w:rFonts w:asciiTheme="majorHAnsi" w:hAnsiTheme="majorHAnsi" w:cstheme="majorHAnsi"/>
        </w:rPr>
        <w:t>rasjonen besvares for eksempel «</w:t>
      </w:r>
      <w:r w:rsidR="00DC1D5F">
        <w:rPr>
          <w:rFonts w:asciiTheme="majorHAnsi" w:hAnsiTheme="majorHAnsi" w:cstheme="majorHAnsi"/>
        </w:rPr>
        <w:t>Pregabalin/kreatinin &lt;50</w:t>
      </w:r>
      <w:r w:rsidR="00C90970">
        <w:rPr>
          <w:rFonts w:asciiTheme="majorHAnsi" w:hAnsiTheme="majorHAnsi" w:cstheme="majorHAnsi"/>
        </w:rPr>
        <w:t xml:space="preserve"> mg/mol»</w:t>
      </w:r>
      <w:r w:rsidR="00DC1D5F">
        <w:rPr>
          <w:rFonts w:asciiTheme="majorHAnsi" w:hAnsiTheme="majorHAnsi" w:cstheme="majorHAnsi"/>
        </w:rPr>
        <w:t xml:space="preserve">, fordi </w:t>
      </w:r>
      <w:r w:rsidR="005A0C7C">
        <w:rPr>
          <w:rFonts w:asciiTheme="majorHAnsi" w:hAnsiTheme="majorHAnsi" w:cstheme="majorHAnsi"/>
        </w:rPr>
        <w:t>regnestykket da blir</w:t>
      </w:r>
      <w:r>
        <w:rPr>
          <w:rFonts w:asciiTheme="majorHAnsi" w:hAnsiTheme="majorHAnsi" w:cstheme="majorHAnsi"/>
        </w:rPr>
        <w:t>:</w:t>
      </w:r>
      <w:r w:rsidR="005A0C7C">
        <w:rPr>
          <w:rFonts w:asciiTheme="majorHAnsi" w:hAnsiTheme="majorHAnsi" w:cstheme="majorHAnsi"/>
        </w:rPr>
        <w:t xml:space="preserve"> «</w:t>
      </w:r>
      <w:r>
        <w:rPr>
          <w:rFonts w:asciiTheme="majorHAnsi" w:hAnsiTheme="majorHAnsi" w:cstheme="majorHAnsi"/>
        </w:rPr>
        <w:t>I</w:t>
      </w:r>
      <w:r w:rsidR="005A0C7C">
        <w:rPr>
          <w:rFonts w:asciiTheme="majorHAnsi" w:hAnsiTheme="majorHAnsi" w:cstheme="majorHAnsi"/>
        </w:rPr>
        <w:t xml:space="preserve">kke påvist» (det vil si for pregabalin, </w:t>
      </w:r>
      <w:r w:rsidR="00C517F5">
        <w:rPr>
          <w:rFonts w:asciiTheme="majorHAnsi" w:hAnsiTheme="majorHAnsi" w:cstheme="majorHAnsi"/>
        </w:rPr>
        <w:t>at konsentrasjonen er &lt;</w:t>
      </w:r>
      <w:r w:rsidR="005A0C7C">
        <w:rPr>
          <w:rFonts w:asciiTheme="majorHAnsi" w:hAnsiTheme="majorHAnsi" w:cstheme="majorHAnsi"/>
        </w:rPr>
        <w:t xml:space="preserve"> </w:t>
      </w:r>
      <w:r w:rsidR="00DC1D5F">
        <w:rPr>
          <w:rFonts w:asciiTheme="majorHAnsi" w:hAnsiTheme="majorHAnsi" w:cstheme="majorHAnsi"/>
        </w:rPr>
        <w:t>500 ng/ml</w:t>
      </w:r>
      <w:r w:rsidR="005A0C7C">
        <w:rPr>
          <w:rFonts w:asciiTheme="majorHAnsi" w:hAnsiTheme="majorHAnsi" w:cstheme="majorHAnsi"/>
        </w:rPr>
        <w:t>)</w:t>
      </w:r>
      <w:r w:rsidR="00DC1D5F">
        <w:rPr>
          <w:rFonts w:asciiTheme="majorHAnsi" w:hAnsiTheme="majorHAnsi" w:cstheme="majorHAnsi"/>
        </w:rPr>
        <w:t xml:space="preserve"> </w:t>
      </w:r>
      <w:r w:rsidR="005A0C7C">
        <w:rPr>
          <w:rFonts w:asciiTheme="majorHAnsi" w:hAnsiTheme="majorHAnsi" w:cstheme="majorHAnsi"/>
        </w:rPr>
        <w:t>delt på k</w:t>
      </w:r>
      <w:r w:rsidR="00DC1D5F">
        <w:rPr>
          <w:rFonts w:asciiTheme="majorHAnsi" w:hAnsiTheme="majorHAnsi" w:cstheme="majorHAnsi"/>
        </w:rPr>
        <w:t xml:space="preserve">reatininverdien </w:t>
      </w:r>
      <w:r w:rsidR="005A0C7C">
        <w:rPr>
          <w:rFonts w:asciiTheme="majorHAnsi" w:hAnsiTheme="majorHAnsi" w:cstheme="majorHAnsi"/>
        </w:rPr>
        <w:t xml:space="preserve">(i dette tilfellet </w:t>
      </w:r>
      <w:r w:rsidR="00DC1D5F">
        <w:rPr>
          <w:rFonts w:asciiTheme="majorHAnsi" w:hAnsiTheme="majorHAnsi" w:cstheme="majorHAnsi"/>
        </w:rPr>
        <w:t>10 mmol/L</w:t>
      </w:r>
      <w:r w:rsidR="005A0C7C">
        <w:rPr>
          <w:rFonts w:asciiTheme="majorHAnsi" w:hAnsiTheme="majorHAnsi" w:cstheme="majorHAnsi"/>
        </w:rPr>
        <w:t>), og da blir svaret &lt;50 mg/mol</w:t>
      </w:r>
      <w:r w:rsidR="00DC1D5F">
        <w:rPr>
          <w:rFonts w:asciiTheme="majorHAnsi" w:hAnsiTheme="majorHAnsi" w:cstheme="majorHAnsi"/>
        </w:rPr>
        <w:t>.</w:t>
      </w:r>
      <w:r w:rsidR="005A0C7C">
        <w:rPr>
          <w:rFonts w:asciiTheme="majorHAnsi" w:hAnsiTheme="majorHAnsi" w:cstheme="majorHAnsi"/>
        </w:rPr>
        <w:t xml:space="preserve"> </w:t>
      </w:r>
      <w:r w:rsidR="00C517F5">
        <w:rPr>
          <w:rFonts w:asciiTheme="majorHAnsi" w:hAnsiTheme="majorHAnsi" w:cstheme="majorHAnsi"/>
        </w:rPr>
        <w:t>Det er viktig å merke seg at dette IKKE betyr at pregabalin er på</w:t>
      </w:r>
      <w:r w:rsidR="009B374A">
        <w:rPr>
          <w:rFonts w:asciiTheme="majorHAnsi" w:hAnsiTheme="majorHAnsi" w:cstheme="majorHAnsi"/>
        </w:rPr>
        <w:t xml:space="preserve">vist, men at </w:t>
      </w:r>
      <w:r>
        <w:rPr>
          <w:rFonts w:asciiTheme="majorHAnsi" w:hAnsiTheme="majorHAnsi" w:cstheme="majorHAnsi"/>
        </w:rPr>
        <w:t>50 mg/mol</w:t>
      </w:r>
      <w:r w:rsidR="009B374A">
        <w:rPr>
          <w:rFonts w:asciiTheme="majorHAnsi" w:hAnsiTheme="majorHAnsi" w:cstheme="majorHAnsi"/>
        </w:rPr>
        <w:t xml:space="preserve"> er den laveste konsentrasjonen vi potensielt ville ha kunnet påvise, gitt den aktuelle kreatininkonsentrasjonen.</w:t>
      </w:r>
      <w:r>
        <w:rPr>
          <w:rFonts w:asciiTheme="majorHAnsi" w:hAnsiTheme="majorHAnsi" w:cstheme="majorHAnsi"/>
        </w:rPr>
        <w:t xml:space="preserve"> Dersom et rusmiddel ER påvist skal det </w:t>
      </w:r>
      <w:r w:rsidR="00EE1159">
        <w:rPr>
          <w:rFonts w:asciiTheme="majorHAnsi" w:hAnsiTheme="majorHAnsi" w:cstheme="majorHAnsi"/>
        </w:rPr>
        <w:t xml:space="preserve">alltid </w:t>
      </w:r>
      <w:r>
        <w:rPr>
          <w:rFonts w:asciiTheme="majorHAnsi" w:hAnsiTheme="majorHAnsi" w:cstheme="majorHAnsi"/>
        </w:rPr>
        <w:t>stå «Påvist»</w:t>
      </w:r>
      <w:r w:rsidR="00EE1159">
        <w:rPr>
          <w:rFonts w:asciiTheme="majorHAnsi" w:hAnsiTheme="majorHAnsi" w:cstheme="majorHAnsi"/>
        </w:rPr>
        <w:t xml:space="preserve"> i en </w:t>
      </w:r>
      <w:r w:rsidR="009C69E7">
        <w:rPr>
          <w:rFonts w:asciiTheme="majorHAnsi" w:hAnsiTheme="majorHAnsi" w:cstheme="majorHAnsi"/>
        </w:rPr>
        <w:t xml:space="preserve">av resultatverdiene, i dette tilfellet på linjen over, der det vil stå «U-Pregabalin </w:t>
      </w:r>
      <w:r w:rsidR="009C69E7">
        <w:rPr>
          <w:rFonts w:asciiTheme="majorHAnsi" w:hAnsiTheme="majorHAnsi" w:cstheme="majorHAnsi"/>
        </w:rPr>
        <w:tab/>
        <w:t>Påvist».</w:t>
      </w:r>
    </w:p>
    <w:p w14:paraId="476C5B63" w14:textId="64E67763" w:rsidR="00066BBD" w:rsidRDefault="00066BBD" w:rsidP="00CB54F6">
      <w:pPr>
        <w:pStyle w:val="Overskrift2"/>
        <w:numPr>
          <w:ilvl w:val="0"/>
          <w:numId w:val="2"/>
        </w:numPr>
      </w:pPr>
      <w:bookmarkStart w:id="19" w:name="_Toc34228799"/>
      <w:r>
        <w:t>Vil Helse Møre- og Romsdal og Nord-Trøndelag oppleve endringer?</w:t>
      </w:r>
      <w:bookmarkEnd w:id="19"/>
      <w:r>
        <w:t xml:space="preserve"> </w:t>
      </w:r>
    </w:p>
    <w:p w14:paraId="7A08986D" w14:textId="54FBE46C" w:rsidR="002615AB" w:rsidRPr="00066BBD" w:rsidRDefault="002615AB">
      <w:pPr>
        <w:rPr>
          <w:rFonts w:asciiTheme="majorHAnsi" w:hAnsiTheme="majorHAnsi" w:cstheme="majorHAnsi"/>
        </w:rPr>
      </w:pPr>
      <w:r w:rsidRPr="00066BBD">
        <w:rPr>
          <w:rFonts w:asciiTheme="majorHAnsi" w:hAnsiTheme="majorHAnsi" w:cstheme="majorHAnsi"/>
        </w:rPr>
        <w:t xml:space="preserve">Helse Møre- og Romsdal og Helse Nord-Trøndelag </w:t>
      </w:r>
      <w:r w:rsidR="00227621" w:rsidRPr="00066BBD">
        <w:rPr>
          <w:rFonts w:asciiTheme="majorHAnsi" w:hAnsiTheme="majorHAnsi" w:cstheme="majorHAnsi"/>
        </w:rPr>
        <w:t>skal ta i bruk det nye laboratoriedatasystemet på et senere tidspunkt. Inntil da vil det ikke være endringer i RoS for disse lokalisasjonene, men analyser som er utført ved St. Olavs hospital vil få endrede navn</w:t>
      </w:r>
      <w:r w:rsidR="00C11EF7" w:rsidRPr="00066BBD">
        <w:rPr>
          <w:rFonts w:asciiTheme="majorHAnsi" w:hAnsiTheme="majorHAnsi" w:cstheme="majorHAnsi"/>
        </w:rPr>
        <w:t xml:space="preserve"> i akkumulert liste</w:t>
      </w:r>
      <w:r w:rsidR="00E72D3D" w:rsidRPr="00066BBD">
        <w:rPr>
          <w:rFonts w:asciiTheme="majorHAnsi" w:hAnsiTheme="majorHAnsi" w:cstheme="majorHAnsi"/>
        </w:rPr>
        <w:t>.</w:t>
      </w:r>
    </w:p>
    <w:p w14:paraId="17ED28EE" w14:textId="48AC5BF2" w:rsidR="0046525C" w:rsidRDefault="00227621" w:rsidP="00CB54F6">
      <w:pPr>
        <w:pStyle w:val="Overskrift2"/>
        <w:numPr>
          <w:ilvl w:val="0"/>
          <w:numId w:val="2"/>
        </w:numPr>
      </w:pPr>
      <w:bookmarkStart w:id="20" w:name="_Toc34228800"/>
      <w:r>
        <w:t>Har du spørsmål</w:t>
      </w:r>
      <w:r w:rsidR="00482787">
        <w:t xml:space="preserve"> eller vil varsle oss om noe</w:t>
      </w:r>
      <w:r>
        <w:t>?</w:t>
      </w:r>
      <w:bookmarkEnd w:id="20"/>
    </w:p>
    <w:p w14:paraId="0D91D5BC" w14:textId="3795068C" w:rsidR="00276C21" w:rsidRPr="00E825A6" w:rsidRDefault="00B07D69" w:rsidP="00276C2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Dersom du har spørsmål </w:t>
      </w:r>
      <w:r w:rsidR="00276C21" w:rsidRPr="004E76FE">
        <w:rPr>
          <w:rFonts w:asciiTheme="majorHAnsi" w:hAnsiTheme="majorHAnsi" w:cstheme="majorHAnsi"/>
        </w:rPr>
        <w:t>i forbindelse med overgang til nytt laboratoriedatasystem, ta kontakt med:</w:t>
      </w:r>
      <w:r w:rsidR="00276C21">
        <w:rPr>
          <w:rFonts w:asciiTheme="majorHAnsi" w:hAnsiTheme="majorHAnsi" w:cstheme="majorHAnsi"/>
        </w:rPr>
        <w:t xml:space="preserve"> </w:t>
      </w:r>
      <w:r w:rsidR="00716906" w:rsidRPr="00716906">
        <w:rPr>
          <w:rFonts w:asciiTheme="majorHAnsi" w:hAnsiTheme="majorHAnsi" w:cstheme="majorHAnsi"/>
        </w:rPr>
        <w:t>LMK Servicetorget (725</w:t>
      </w:r>
      <w:r w:rsidR="00276C21" w:rsidRPr="00716906">
        <w:rPr>
          <w:rFonts w:asciiTheme="majorHAnsi" w:hAnsiTheme="majorHAnsi" w:cstheme="majorHAnsi"/>
        </w:rPr>
        <w:t>73200</w:t>
      </w:r>
      <w:r w:rsidR="00276C21" w:rsidRPr="00E825A6">
        <w:t xml:space="preserve">, </w:t>
      </w:r>
      <w:hyperlink r:id="rId18" w:history="1">
        <w:r w:rsidR="00276C21" w:rsidRPr="00E825A6">
          <w:rPr>
            <w:rStyle w:val="Hyperkobling"/>
          </w:rPr>
          <w:t>post.lab@stolav.no</w:t>
        </w:r>
      </w:hyperlink>
      <w:r w:rsidR="00276C21" w:rsidRPr="00E825A6">
        <w:t>)</w:t>
      </w:r>
      <w:r w:rsidR="00276C21">
        <w:t>.</w:t>
      </w:r>
    </w:p>
    <w:p w14:paraId="2E45FDF6" w14:textId="77777777" w:rsidR="00FF0FBB" w:rsidRPr="00834313" w:rsidRDefault="00FF0FBB" w:rsidP="00BC41F5"/>
    <w:sectPr w:rsidR="00FF0FBB" w:rsidRPr="00834313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07E8D" w14:textId="77777777" w:rsidR="00C13082" w:rsidRDefault="00C13082" w:rsidP="00C13082">
      <w:pPr>
        <w:spacing w:after="0" w:line="240" w:lineRule="auto"/>
      </w:pPr>
      <w:r>
        <w:separator/>
      </w:r>
    </w:p>
  </w:endnote>
  <w:endnote w:type="continuationSeparator" w:id="0">
    <w:p w14:paraId="6596E609" w14:textId="77777777" w:rsidR="00C13082" w:rsidRDefault="00C13082" w:rsidP="00C1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Sans-Bold">
    <w:panose1 w:val="02000803060000020004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29E05" w14:textId="77777777" w:rsidR="00C13082" w:rsidRDefault="00C13082" w:rsidP="00C13082">
      <w:pPr>
        <w:spacing w:after="0" w:line="240" w:lineRule="auto"/>
      </w:pPr>
      <w:r>
        <w:separator/>
      </w:r>
    </w:p>
  </w:footnote>
  <w:footnote w:type="continuationSeparator" w:id="0">
    <w:p w14:paraId="29C212DA" w14:textId="77777777" w:rsidR="00C13082" w:rsidRDefault="00C13082" w:rsidP="00C13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799" w:type="dxa"/>
      <w:tblInd w:w="-2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799"/>
    </w:tblGrid>
    <w:tr w:rsidR="00C13082" w14:paraId="3A980AEB" w14:textId="77777777" w:rsidTr="0040611E">
      <w:trPr>
        <w:cantSplit/>
        <w:trHeight w:val="694"/>
      </w:trPr>
      <w:tc>
        <w:tcPr>
          <w:tcW w:w="6799" w:type="dxa"/>
          <w:tcBorders>
            <w:top w:val="nil"/>
            <w:left w:val="nil"/>
            <w:bottom w:val="nil"/>
            <w:right w:val="nil"/>
          </w:tcBorders>
        </w:tcPr>
        <w:p w14:paraId="1A25E392" w14:textId="77777777" w:rsidR="00C13082" w:rsidRDefault="00C13082" w:rsidP="00C13082">
          <w:pPr>
            <w:pStyle w:val="Topptekst"/>
            <w:tabs>
              <w:tab w:val="clear" w:pos="4536"/>
            </w:tabs>
            <w:jc w:val="both"/>
            <w:rPr>
              <w:rFonts w:ascii="ScalaSans-Bold" w:hAnsi="ScalaSans-Bold"/>
              <w:color w:val="3366FF"/>
              <w:sz w:val="17"/>
              <w:szCs w:val="17"/>
            </w:rPr>
          </w:pPr>
          <w:r>
            <w:rPr>
              <w:noProof/>
              <w:lang w:eastAsia="nb-NO"/>
            </w:rPr>
            <w:drawing>
              <wp:inline distT="0" distB="0" distL="0" distR="0" wp14:anchorId="50FEBC63" wp14:editId="578E13A1">
                <wp:extent cx="2437200" cy="432000"/>
                <wp:effectExtent l="0" t="0" r="1270" b="6350"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72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15D77D" w14:textId="75E799A8" w:rsidR="00C13082" w:rsidRDefault="00C13082">
    <w:pPr>
      <w:pStyle w:val="Topptekst"/>
    </w:pPr>
    <w:r>
      <w:t xml:space="preserve">           </w:t>
    </w:r>
    <w:bookmarkStart w:id="21" w:name="ADMBETEGNELSE"/>
    <w:r>
      <w:t>LABORATORIEMEDISINSK KLINIKK</w:t>
    </w:r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3F6"/>
    <w:multiLevelType w:val="multilevel"/>
    <w:tmpl w:val="FB4E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73BF7"/>
    <w:multiLevelType w:val="hybridMultilevel"/>
    <w:tmpl w:val="3692DA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136B"/>
    <w:multiLevelType w:val="hybridMultilevel"/>
    <w:tmpl w:val="699614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317CF"/>
    <w:multiLevelType w:val="hybridMultilevel"/>
    <w:tmpl w:val="D090B9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F6A"/>
    <w:multiLevelType w:val="hybridMultilevel"/>
    <w:tmpl w:val="F25AEB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42114"/>
    <w:multiLevelType w:val="hybridMultilevel"/>
    <w:tmpl w:val="0FD494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4461A"/>
    <w:multiLevelType w:val="hybridMultilevel"/>
    <w:tmpl w:val="97B0CE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A63D5"/>
    <w:multiLevelType w:val="hybridMultilevel"/>
    <w:tmpl w:val="3F2619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F537B"/>
    <w:multiLevelType w:val="hybridMultilevel"/>
    <w:tmpl w:val="F4108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7AF3"/>
    <w:multiLevelType w:val="hybridMultilevel"/>
    <w:tmpl w:val="3F2619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E6EBE"/>
    <w:multiLevelType w:val="hybridMultilevel"/>
    <w:tmpl w:val="BD0AB174"/>
    <w:lvl w:ilvl="0" w:tplc="889EB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3391F"/>
    <w:multiLevelType w:val="hybridMultilevel"/>
    <w:tmpl w:val="C3D2D8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F0400"/>
    <w:multiLevelType w:val="hybridMultilevel"/>
    <w:tmpl w:val="0BE6B11C"/>
    <w:lvl w:ilvl="0" w:tplc="4EDE1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453DE"/>
    <w:multiLevelType w:val="hybridMultilevel"/>
    <w:tmpl w:val="1FF8B5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A3F07"/>
    <w:multiLevelType w:val="hybridMultilevel"/>
    <w:tmpl w:val="D34C8A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97669"/>
    <w:multiLevelType w:val="hybridMultilevel"/>
    <w:tmpl w:val="B7D4CA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E11DF"/>
    <w:multiLevelType w:val="hybridMultilevel"/>
    <w:tmpl w:val="0A385C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"/>
  </w:num>
  <w:num w:numId="5">
    <w:abstractNumId w:val="14"/>
  </w:num>
  <w:num w:numId="6">
    <w:abstractNumId w:val="15"/>
  </w:num>
  <w:num w:numId="7">
    <w:abstractNumId w:val="3"/>
  </w:num>
  <w:num w:numId="8">
    <w:abstractNumId w:val="5"/>
  </w:num>
  <w:num w:numId="9">
    <w:abstractNumId w:val="13"/>
  </w:num>
  <w:num w:numId="10">
    <w:abstractNumId w:val="9"/>
  </w:num>
  <w:num w:numId="11">
    <w:abstractNumId w:val="7"/>
  </w:num>
  <w:num w:numId="12">
    <w:abstractNumId w:val="1"/>
  </w:num>
  <w:num w:numId="13">
    <w:abstractNumId w:val="10"/>
  </w:num>
  <w:num w:numId="14">
    <w:abstractNumId w:val="6"/>
  </w:num>
  <w:num w:numId="15">
    <w:abstractNumId w:val="1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F5"/>
    <w:rsid w:val="00000B4C"/>
    <w:rsid w:val="00005623"/>
    <w:rsid w:val="0000603F"/>
    <w:rsid w:val="00012B7E"/>
    <w:rsid w:val="000246D9"/>
    <w:rsid w:val="00037159"/>
    <w:rsid w:val="000456F4"/>
    <w:rsid w:val="000477A1"/>
    <w:rsid w:val="00051D32"/>
    <w:rsid w:val="00055076"/>
    <w:rsid w:val="00056A30"/>
    <w:rsid w:val="000574AD"/>
    <w:rsid w:val="000579C8"/>
    <w:rsid w:val="0006450A"/>
    <w:rsid w:val="00066A57"/>
    <w:rsid w:val="00066BBD"/>
    <w:rsid w:val="0009755E"/>
    <w:rsid w:val="000A5489"/>
    <w:rsid w:val="000A7F6A"/>
    <w:rsid w:val="000B6032"/>
    <w:rsid w:val="000D2454"/>
    <w:rsid w:val="000D7279"/>
    <w:rsid w:val="000E2254"/>
    <w:rsid w:val="000E2FEE"/>
    <w:rsid w:val="000F0B2D"/>
    <w:rsid w:val="00103B39"/>
    <w:rsid w:val="00103F39"/>
    <w:rsid w:val="0011194C"/>
    <w:rsid w:val="00112647"/>
    <w:rsid w:val="0012545B"/>
    <w:rsid w:val="00130CF7"/>
    <w:rsid w:val="0014115F"/>
    <w:rsid w:val="001447C9"/>
    <w:rsid w:val="00167C42"/>
    <w:rsid w:val="00176CB4"/>
    <w:rsid w:val="00182AED"/>
    <w:rsid w:val="001837A9"/>
    <w:rsid w:val="0018729E"/>
    <w:rsid w:val="00190812"/>
    <w:rsid w:val="001A1535"/>
    <w:rsid w:val="001A1A12"/>
    <w:rsid w:val="001A493F"/>
    <w:rsid w:val="001A5910"/>
    <w:rsid w:val="001B1868"/>
    <w:rsid w:val="001B3E57"/>
    <w:rsid w:val="001B4759"/>
    <w:rsid w:val="001D24C2"/>
    <w:rsid w:val="001D25D2"/>
    <w:rsid w:val="001F223E"/>
    <w:rsid w:val="001F2F19"/>
    <w:rsid w:val="001F4D86"/>
    <w:rsid w:val="00203B81"/>
    <w:rsid w:val="00214329"/>
    <w:rsid w:val="002209C1"/>
    <w:rsid w:val="00226EBF"/>
    <w:rsid w:val="00227621"/>
    <w:rsid w:val="0023142D"/>
    <w:rsid w:val="00243424"/>
    <w:rsid w:val="00255828"/>
    <w:rsid w:val="002615AB"/>
    <w:rsid w:val="00263650"/>
    <w:rsid w:val="00271B27"/>
    <w:rsid w:val="00276C21"/>
    <w:rsid w:val="00280156"/>
    <w:rsid w:val="00284574"/>
    <w:rsid w:val="00286622"/>
    <w:rsid w:val="00294014"/>
    <w:rsid w:val="002A003D"/>
    <w:rsid w:val="002A4E8D"/>
    <w:rsid w:val="002A5571"/>
    <w:rsid w:val="002A6C93"/>
    <w:rsid w:val="002C0FCB"/>
    <w:rsid w:val="002C2AD3"/>
    <w:rsid w:val="002E5487"/>
    <w:rsid w:val="002F311B"/>
    <w:rsid w:val="00311DF1"/>
    <w:rsid w:val="003142A2"/>
    <w:rsid w:val="003208B8"/>
    <w:rsid w:val="00324548"/>
    <w:rsid w:val="00324A69"/>
    <w:rsid w:val="00326D81"/>
    <w:rsid w:val="00332B07"/>
    <w:rsid w:val="00336ED9"/>
    <w:rsid w:val="00347D41"/>
    <w:rsid w:val="003504BE"/>
    <w:rsid w:val="00353A2C"/>
    <w:rsid w:val="00361237"/>
    <w:rsid w:val="00375D44"/>
    <w:rsid w:val="00376AF1"/>
    <w:rsid w:val="00383A69"/>
    <w:rsid w:val="00394895"/>
    <w:rsid w:val="00394BCB"/>
    <w:rsid w:val="00394E04"/>
    <w:rsid w:val="003A1B7C"/>
    <w:rsid w:val="003B4DE2"/>
    <w:rsid w:val="003B5426"/>
    <w:rsid w:val="003B69CA"/>
    <w:rsid w:val="003D18DC"/>
    <w:rsid w:val="003D32BF"/>
    <w:rsid w:val="00401255"/>
    <w:rsid w:val="004134D3"/>
    <w:rsid w:val="00415901"/>
    <w:rsid w:val="00425592"/>
    <w:rsid w:val="00427016"/>
    <w:rsid w:val="00460643"/>
    <w:rsid w:val="00461F8E"/>
    <w:rsid w:val="00463072"/>
    <w:rsid w:val="004638B1"/>
    <w:rsid w:val="0046525C"/>
    <w:rsid w:val="0046786F"/>
    <w:rsid w:val="00476725"/>
    <w:rsid w:val="00482787"/>
    <w:rsid w:val="004916D3"/>
    <w:rsid w:val="00494CBB"/>
    <w:rsid w:val="004A0081"/>
    <w:rsid w:val="004A04D9"/>
    <w:rsid w:val="004A3391"/>
    <w:rsid w:val="004A470C"/>
    <w:rsid w:val="004A4EC8"/>
    <w:rsid w:val="004B3E99"/>
    <w:rsid w:val="004B71D0"/>
    <w:rsid w:val="004C3CCE"/>
    <w:rsid w:val="004C6AFD"/>
    <w:rsid w:val="004D2DF5"/>
    <w:rsid w:val="004D4949"/>
    <w:rsid w:val="004D6592"/>
    <w:rsid w:val="004E76FE"/>
    <w:rsid w:val="004F35E0"/>
    <w:rsid w:val="005063B7"/>
    <w:rsid w:val="0050733A"/>
    <w:rsid w:val="0051208E"/>
    <w:rsid w:val="00513E75"/>
    <w:rsid w:val="00525C48"/>
    <w:rsid w:val="005323B9"/>
    <w:rsid w:val="00534CD5"/>
    <w:rsid w:val="00540FED"/>
    <w:rsid w:val="00541BA6"/>
    <w:rsid w:val="00547E11"/>
    <w:rsid w:val="0055094E"/>
    <w:rsid w:val="00554291"/>
    <w:rsid w:val="005602CA"/>
    <w:rsid w:val="00563B2C"/>
    <w:rsid w:val="00567FF2"/>
    <w:rsid w:val="00573F57"/>
    <w:rsid w:val="0057683F"/>
    <w:rsid w:val="00577D57"/>
    <w:rsid w:val="00591B38"/>
    <w:rsid w:val="00593D6A"/>
    <w:rsid w:val="005A0C7C"/>
    <w:rsid w:val="005A6A94"/>
    <w:rsid w:val="005C0092"/>
    <w:rsid w:val="005C4FB3"/>
    <w:rsid w:val="005D4E76"/>
    <w:rsid w:val="005D7906"/>
    <w:rsid w:val="005E1A52"/>
    <w:rsid w:val="005E4F40"/>
    <w:rsid w:val="005F18AF"/>
    <w:rsid w:val="005F375F"/>
    <w:rsid w:val="00624D24"/>
    <w:rsid w:val="00655652"/>
    <w:rsid w:val="00656DB9"/>
    <w:rsid w:val="00677003"/>
    <w:rsid w:val="00685296"/>
    <w:rsid w:val="00686B61"/>
    <w:rsid w:val="00693C66"/>
    <w:rsid w:val="006A4AA4"/>
    <w:rsid w:val="006A5778"/>
    <w:rsid w:val="006B2E06"/>
    <w:rsid w:val="006C1C4B"/>
    <w:rsid w:val="006C2113"/>
    <w:rsid w:val="006C2567"/>
    <w:rsid w:val="006C5E40"/>
    <w:rsid w:val="006C7AD3"/>
    <w:rsid w:val="006D012C"/>
    <w:rsid w:val="006E65A2"/>
    <w:rsid w:val="00700D52"/>
    <w:rsid w:val="00705C60"/>
    <w:rsid w:val="00716906"/>
    <w:rsid w:val="007206E0"/>
    <w:rsid w:val="00723991"/>
    <w:rsid w:val="00724D53"/>
    <w:rsid w:val="0072778B"/>
    <w:rsid w:val="007305A8"/>
    <w:rsid w:val="0073471E"/>
    <w:rsid w:val="0073491D"/>
    <w:rsid w:val="0073582C"/>
    <w:rsid w:val="007433E9"/>
    <w:rsid w:val="0075419A"/>
    <w:rsid w:val="00756C86"/>
    <w:rsid w:val="0076240D"/>
    <w:rsid w:val="0076375D"/>
    <w:rsid w:val="007675A0"/>
    <w:rsid w:val="007902F5"/>
    <w:rsid w:val="00791983"/>
    <w:rsid w:val="00793996"/>
    <w:rsid w:val="00794E0A"/>
    <w:rsid w:val="007A451C"/>
    <w:rsid w:val="007B0EC0"/>
    <w:rsid w:val="007B7E1E"/>
    <w:rsid w:val="007C0432"/>
    <w:rsid w:val="007F21A3"/>
    <w:rsid w:val="007F4F56"/>
    <w:rsid w:val="007F689B"/>
    <w:rsid w:val="00800C64"/>
    <w:rsid w:val="0081000E"/>
    <w:rsid w:val="00817CE4"/>
    <w:rsid w:val="008262EA"/>
    <w:rsid w:val="00826607"/>
    <w:rsid w:val="008301F0"/>
    <w:rsid w:val="0083103C"/>
    <w:rsid w:val="00834313"/>
    <w:rsid w:val="008345DD"/>
    <w:rsid w:val="00835653"/>
    <w:rsid w:val="00854896"/>
    <w:rsid w:val="00863CC5"/>
    <w:rsid w:val="008653A1"/>
    <w:rsid w:val="008665BE"/>
    <w:rsid w:val="00866BE1"/>
    <w:rsid w:val="0086765C"/>
    <w:rsid w:val="008709BE"/>
    <w:rsid w:val="00876148"/>
    <w:rsid w:val="008763E4"/>
    <w:rsid w:val="008803BE"/>
    <w:rsid w:val="00884A76"/>
    <w:rsid w:val="00887C93"/>
    <w:rsid w:val="00887EFA"/>
    <w:rsid w:val="00891DE0"/>
    <w:rsid w:val="00893067"/>
    <w:rsid w:val="00894648"/>
    <w:rsid w:val="008B667F"/>
    <w:rsid w:val="008C0BC1"/>
    <w:rsid w:val="008C4E7F"/>
    <w:rsid w:val="008D4D69"/>
    <w:rsid w:val="008D6549"/>
    <w:rsid w:val="008F0B4A"/>
    <w:rsid w:val="008F0F4E"/>
    <w:rsid w:val="008F2368"/>
    <w:rsid w:val="009072B9"/>
    <w:rsid w:val="00916885"/>
    <w:rsid w:val="00925EB2"/>
    <w:rsid w:val="009402AF"/>
    <w:rsid w:val="00940E57"/>
    <w:rsid w:val="00941623"/>
    <w:rsid w:val="0094727B"/>
    <w:rsid w:val="00955355"/>
    <w:rsid w:val="00960CF4"/>
    <w:rsid w:val="009638F7"/>
    <w:rsid w:val="009658E1"/>
    <w:rsid w:val="009737EF"/>
    <w:rsid w:val="00981969"/>
    <w:rsid w:val="00986812"/>
    <w:rsid w:val="00986868"/>
    <w:rsid w:val="00995076"/>
    <w:rsid w:val="009A2E38"/>
    <w:rsid w:val="009A2F98"/>
    <w:rsid w:val="009A701B"/>
    <w:rsid w:val="009A7E1F"/>
    <w:rsid w:val="009B374A"/>
    <w:rsid w:val="009B4A4A"/>
    <w:rsid w:val="009C69E7"/>
    <w:rsid w:val="009C73D7"/>
    <w:rsid w:val="009D3341"/>
    <w:rsid w:val="009E34BF"/>
    <w:rsid w:val="009E4EBE"/>
    <w:rsid w:val="009E6D89"/>
    <w:rsid w:val="009F4D6A"/>
    <w:rsid w:val="00A000BC"/>
    <w:rsid w:val="00A05B73"/>
    <w:rsid w:val="00A0762B"/>
    <w:rsid w:val="00A10C2A"/>
    <w:rsid w:val="00A16D19"/>
    <w:rsid w:val="00A256AF"/>
    <w:rsid w:val="00A25B5E"/>
    <w:rsid w:val="00A3253C"/>
    <w:rsid w:val="00A34FA6"/>
    <w:rsid w:val="00A40B9A"/>
    <w:rsid w:val="00A56DAF"/>
    <w:rsid w:val="00A6272B"/>
    <w:rsid w:val="00A636D9"/>
    <w:rsid w:val="00A76E23"/>
    <w:rsid w:val="00A91531"/>
    <w:rsid w:val="00A958C0"/>
    <w:rsid w:val="00AB3142"/>
    <w:rsid w:val="00AD26E6"/>
    <w:rsid w:val="00AD2F61"/>
    <w:rsid w:val="00AD66B1"/>
    <w:rsid w:val="00AE3C8B"/>
    <w:rsid w:val="00AF13D3"/>
    <w:rsid w:val="00AF1B8B"/>
    <w:rsid w:val="00AF7104"/>
    <w:rsid w:val="00B047B2"/>
    <w:rsid w:val="00B07D69"/>
    <w:rsid w:val="00B1639C"/>
    <w:rsid w:val="00B27087"/>
    <w:rsid w:val="00B45A84"/>
    <w:rsid w:val="00B470EA"/>
    <w:rsid w:val="00B65B69"/>
    <w:rsid w:val="00B72C0D"/>
    <w:rsid w:val="00B83CAC"/>
    <w:rsid w:val="00B86117"/>
    <w:rsid w:val="00B869F4"/>
    <w:rsid w:val="00B90014"/>
    <w:rsid w:val="00BA2C80"/>
    <w:rsid w:val="00BA35CC"/>
    <w:rsid w:val="00BA5BB9"/>
    <w:rsid w:val="00BA625C"/>
    <w:rsid w:val="00BA6DC2"/>
    <w:rsid w:val="00BB5684"/>
    <w:rsid w:val="00BC0EF7"/>
    <w:rsid w:val="00BC41F5"/>
    <w:rsid w:val="00BD6D17"/>
    <w:rsid w:val="00BF76C4"/>
    <w:rsid w:val="00BF7A28"/>
    <w:rsid w:val="00C11EF7"/>
    <w:rsid w:val="00C13082"/>
    <w:rsid w:val="00C147EF"/>
    <w:rsid w:val="00C20DB1"/>
    <w:rsid w:val="00C21C01"/>
    <w:rsid w:val="00C22E3C"/>
    <w:rsid w:val="00C3201A"/>
    <w:rsid w:val="00C4144C"/>
    <w:rsid w:val="00C43DC3"/>
    <w:rsid w:val="00C45027"/>
    <w:rsid w:val="00C47661"/>
    <w:rsid w:val="00C517F5"/>
    <w:rsid w:val="00C545AB"/>
    <w:rsid w:val="00C646E0"/>
    <w:rsid w:val="00C90970"/>
    <w:rsid w:val="00C93350"/>
    <w:rsid w:val="00C93C34"/>
    <w:rsid w:val="00CA327C"/>
    <w:rsid w:val="00CA4D9E"/>
    <w:rsid w:val="00CB489F"/>
    <w:rsid w:val="00CB54F6"/>
    <w:rsid w:val="00CB7EC2"/>
    <w:rsid w:val="00CC4B64"/>
    <w:rsid w:val="00CC7529"/>
    <w:rsid w:val="00CD2B74"/>
    <w:rsid w:val="00CD5A19"/>
    <w:rsid w:val="00CE1A05"/>
    <w:rsid w:val="00CF233B"/>
    <w:rsid w:val="00CF439D"/>
    <w:rsid w:val="00CF4C4E"/>
    <w:rsid w:val="00D06FC1"/>
    <w:rsid w:val="00D11015"/>
    <w:rsid w:val="00D1310E"/>
    <w:rsid w:val="00D20CEB"/>
    <w:rsid w:val="00D263CF"/>
    <w:rsid w:val="00D32702"/>
    <w:rsid w:val="00D32C2C"/>
    <w:rsid w:val="00D43F23"/>
    <w:rsid w:val="00D448DB"/>
    <w:rsid w:val="00D460DE"/>
    <w:rsid w:val="00D472B4"/>
    <w:rsid w:val="00D57EB1"/>
    <w:rsid w:val="00D715D2"/>
    <w:rsid w:val="00D7594E"/>
    <w:rsid w:val="00D8557D"/>
    <w:rsid w:val="00D90C5E"/>
    <w:rsid w:val="00DA13DA"/>
    <w:rsid w:val="00DB451F"/>
    <w:rsid w:val="00DC1D5F"/>
    <w:rsid w:val="00DC3302"/>
    <w:rsid w:val="00DE7531"/>
    <w:rsid w:val="00DF09E2"/>
    <w:rsid w:val="00DF68AC"/>
    <w:rsid w:val="00E057C1"/>
    <w:rsid w:val="00E05D44"/>
    <w:rsid w:val="00E13610"/>
    <w:rsid w:val="00E2025A"/>
    <w:rsid w:val="00E260DA"/>
    <w:rsid w:val="00E27B8C"/>
    <w:rsid w:val="00E3583A"/>
    <w:rsid w:val="00E364C5"/>
    <w:rsid w:val="00E424B1"/>
    <w:rsid w:val="00E43CEF"/>
    <w:rsid w:val="00E4401C"/>
    <w:rsid w:val="00E44FB2"/>
    <w:rsid w:val="00E4765F"/>
    <w:rsid w:val="00E50E66"/>
    <w:rsid w:val="00E50F0C"/>
    <w:rsid w:val="00E514E5"/>
    <w:rsid w:val="00E5579E"/>
    <w:rsid w:val="00E62DBC"/>
    <w:rsid w:val="00E6353E"/>
    <w:rsid w:val="00E72D3D"/>
    <w:rsid w:val="00E77B57"/>
    <w:rsid w:val="00E8140A"/>
    <w:rsid w:val="00E8182C"/>
    <w:rsid w:val="00E83B3C"/>
    <w:rsid w:val="00E86131"/>
    <w:rsid w:val="00E865DF"/>
    <w:rsid w:val="00E9454B"/>
    <w:rsid w:val="00EA15F3"/>
    <w:rsid w:val="00EA510C"/>
    <w:rsid w:val="00EB0618"/>
    <w:rsid w:val="00EB2F85"/>
    <w:rsid w:val="00EB62ED"/>
    <w:rsid w:val="00EC2547"/>
    <w:rsid w:val="00EC59DC"/>
    <w:rsid w:val="00EC7A4E"/>
    <w:rsid w:val="00ED18E9"/>
    <w:rsid w:val="00EE1159"/>
    <w:rsid w:val="00EE1E08"/>
    <w:rsid w:val="00EE6A47"/>
    <w:rsid w:val="00F01783"/>
    <w:rsid w:val="00F05C4E"/>
    <w:rsid w:val="00F078AF"/>
    <w:rsid w:val="00F10625"/>
    <w:rsid w:val="00F10638"/>
    <w:rsid w:val="00F20F12"/>
    <w:rsid w:val="00F262A2"/>
    <w:rsid w:val="00F314C8"/>
    <w:rsid w:val="00F31D9A"/>
    <w:rsid w:val="00F33BA5"/>
    <w:rsid w:val="00F34376"/>
    <w:rsid w:val="00F4188B"/>
    <w:rsid w:val="00F4765F"/>
    <w:rsid w:val="00F5339B"/>
    <w:rsid w:val="00F61AED"/>
    <w:rsid w:val="00F63B32"/>
    <w:rsid w:val="00F66A40"/>
    <w:rsid w:val="00F66C0A"/>
    <w:rsid w:val="00F7095E"/>
    <w:rsid w:val="00F77798"/>
    <w:rsid w:val="00F83ED3"/>
    <w:rsid w:val="00F912AB"/>
    <w:rsid w:val="00FA0D1D"/>
    <w:rsid w:val="00FA14D5"/>
    <w:rsid w:val="00FA6E27"/>
    <w:rsid w:val="00FB0AF6"/>
    <w:rsid w:val="00FB54AC"/>
    <w:rsid w:val="00FD54C3"/>
    <w:rsid w:val="00FE27FE"/>
    <w:rsid w:val="00FF0FBB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652F"/>
  <w15:chartTrackingRefBased/>
  <w15:docId w15:val="{5516FE1B-47AE-4147-B327-AF116E72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3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3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509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63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636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872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729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729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72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729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729E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4B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87C93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5509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76C21"/>
    <w:rPr>
      <w:color w:val="0563C1" w:themeColor="hyperlink"/>
      <w:sz w:val="22"/>
      <w:u w:val="single"/>
    </w:rPr>
  </w:style>
  <w:style w:type="paragraph" w:styleId="Listeavsnitt">
    <w:name w:val="List Paragraph"/>
    <w:basedOn w:val="Normal"/>
    <w:uiPriority w:val="34"/>
    <w:qFormat/>
    <w:rsid w:val="00CB7EC2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A003D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2A003D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A003D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73471E"/>
    <w:pPr>
      <w:tabs>
        <w:tab w:val="left" w:pos="1100"/>
        <w:tab w:val="right" w:leader="dot" w:pos="9062"/>
      </w:tabs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E9454B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nhideWhenUsed/>
    <w:rsid w:val="00C13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C13082"/>
  </w:style>
  <w:style w:type="paragraph" w:styleId="Bunntekst">
    <w:name w:val="footer"/>
    <w:basedOn w:val="Normal"/>
    <w:link w:val="BunntekstTegn"/>
    <w:uiPriority w:val="99"/>
    <w:unhideWhenUsed/>
    <w:rsid w:val="00C13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mailto:post.lab@stolav.n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tolav.no/fag-og-forskning/lab/nytt-laboratoriedatasystem-driftsettes-7-mars-2020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IGrOARWQo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olav.no/fag-og-forskning/lab/nytt-laboratoriedatasystem-driftsettes-7-mars-202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57994-7ee4-4c1f-ada2-2cc10739928f"/>
    <FNSPRollUpIngress xmlns="b7257994-7ee4-4c1f-ada2-2cc10739928f" xsi:nil="true"/>
    <TaxKeywordTaxHTField xmlns="b7257994-7ee4-4c1f-ada2-2cc10739928f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031D76E1424E43823FA787ABC10A4F" ma:contentTypeVersion="23" ma:contentTypeDescription="Opprett et nytt dokument." ma:contentTypeScope="" ma:versionID="b5ff0c7269f2aecfc2263d71d164363e">
  <xsd:schema xmlns:xsd="http://www.w3.org/2001/XMLSchema" xmlns:xs="http://www.w3.org/2001/XMLSchema" xmlns:p="http://schemas.microsoft.com/office/2006/metadata/properties" xmlns:ns2="b7257994-7ee4-4c1f-ada2-2cc10739928f" targetNamespace="http://schemas.microsoft.com/office/2006/metadata/properties" ma:root="true" ma:fieldsID="54e485b75676c6c430dca0685728dfd1" ns2:_="">
    <xsd:import namespace="b7257994-7ee4-4c1f-ada2-2cc10739928f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57994-7ee4-4c1f-ada2-2cc10739928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8742576-0209-4aa1-bc47-899270f80774}" ma:internalName="TaxCatchAll" ma:showField="CatchAllData" ma:web="b7257994-7ee4-4c1f-ada2-2cc107399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8742576-0209-4aa1-bc47-899270f80774}" ma:internalName="TaxCatchAllLabel" ma:readOnly="true" ma:showField="CatchAllDataLabel" ma:web="b7257994-7ee4-4c1f-ada2-2cc107399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FDA58-A96E-45AB-ACAB-701864A32445}"/>
</file>

<file path=customXml/itemProps2.xml><?xml version="1.0" encoding="utf-8"?>
<ds:datastoreItem xmlns:ds="http://schemas.openxmlformats.org/officeDocument/2006/customXml" ds:itemID="{3BCE2836-D000-4298-AE53-6EEA018E96CE}"/>
</file>

<file path=customXml/itemProps3.xml><?xml version="1.0" encoding="utf-8"?>
<ds:datastoreItem xmlns:ds="http://schemas.openxmlformats.org/officeDocument/2006/customXml" ds:itemID="{DFB16C9F-F519-4C45-B877-D5FAE6CA337E}"/>
</file>

<file path=customXml/itemProps4.xml><?xml version="1.0" encoding="utf-8"?>
<ds:datastoreItem xmlns:ds="http://schemas.openxmlformats.org/officeDocument/2006/customXml" ds:itemID="{363DB790-4FCA-4B55-B8CF-62BF1BBB4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2472</Words>
  <Characters>13104</Characters>
  <Application>Microsoft Office Word</Application>
  <DocSecurity>0</DocSecurity>
  <Lines>109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Sjåholm, May-Britt</dc:creator>
  <cp:keywords/>
  <dc:description/>
  <cp:lastModifiedBy>Roberts, Helene</cp:lastModifiedBy>
  <cp:revision>2</cp:revision>
  <dcterms:created xsi:type="dcterms:W3CDTF">2020-03-04T14:39:00Z</dcterms:created>
  <dcterms:modified xsi:type="dcterms:W3CDTF">2020-03-04T14:39:00Z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0x0101006B031D76E1424E43823FA787ABC10A4F</vt:lpwstr>
  </property>
  <property fmtid="{D5CDD505-2E9C-101B-9397-08002B2CF9AE}" pid="3" name="GtProjectPhase">
    <vt:lpwstr>6;#Gjennomføre|99d7765a-c786-4792-a1a1-866ef0f982b9</vt:lpwstr>
  </property>
  <property fmtid="{D5CDD505-2E9C-101B-9397-08002B2CF9AE}" pid="4" name="HemitDocumentCategory">
    <vt:lpwstr>33;#Leveranser|76af4b12-e9b0-45e0-b576-8d00871f3728</vt:lpwstr>
  </property>
  <property fmtid="{D5CDD505-2E9C-101B-9397-08002B2CF9AE}" pid="5" name="TaxKeyword">
    <vt:lpwstr/>
  </property>
</Properties>
</file>